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807C4B" w:rsidP="00054E0A">
      <w:pPr>
        <w:pStyle w:val="NoSpacing"/>
        <w:jc w:val="both"/>
        <w:rPr>
          <w:rFonts w:eastAsia="Times New Roman" w:cs="Arial"/>
          <w:b/>
          <w:bCs/>
          <w:szCs w:val="24"/>
        </w:rPr>
      </w:pPr>
    </w:p>
    <w:p w:rsidR="00054E0A" w:rsidRDefault="00ED346B" w:rsidP="00054E0A">
      <w:pPr>
        <w:pStyle w:val="NoSpacing"/>
        <w:jc w:val="both"/>
        <w:rPr>
          <w:rFonts w:eastAsia="Times New Roman" w:cs="Arial"/>
          <w:b/>
          <w:bCs/>
          <w:szCs w:val="24"/>
        </w:rPr>
      </w:pPr>
      <w:r>
        <w:rPr>
          <w:rFonts w:eastAsia="Times New Roman" w:cs="Arial"/>
          <w:b/>
          <w:bCs/>
          <w:szCs w:val="24"/>
        </w:rPr>
        <w:t xml:space="preserve">CITY DEAL </w:t>
      </w:r>
      <w:r w:rsidR="00807C4B">
        <w:rPr>
          <w:rFonts w:eastAsia="Times New Roman" w:cs="Arial"/>
          <w:b/>
          <w:bCs/>
          <w:szCs w:val="24"/>
        </w:rPr>
        <w:t xml:space="preserve">EXECUTIVE AND </w:t>
      </w:r>
      <w:r w:rsidR="00054E0A">
        <w:rPr>
          <w:rFonts w:eastAsia="Times New Roman" w:cs="Arial"/>
          <w:b/>
          <w:bCs/>
          <w:szCs w:val="24"/>
        </w:rPr>
        <w:t>STEWARDSHIP BOARD</w:t>
      </w:r>
    </w:p>
    <w:p w:rsidR="00D3134F" w:rsidRPr="00D3134F" w:rsidRDefault="00D3134F" w:rsidP="00D3134F">
      <w:pPr>
        <w:rPr>
          <w:rFonts w:ascii="Arial" w:hAnsi="Arial" w:cs="Arial"/>
          <w:b/>
          <w:bCs/>
          <w:sz w:val="24"/>
          <w:szCs w:val="24"/>
        </w:rPr>
      </w:pPr>
    </w:p>
    <w:p w:rsidR="00D3134F" w:rsidRPr="00D3134F" w:rsidRDefault="00D3134F" w:rsidP="00D3134F">
      <w:pPr>
        <w:rPr>
          <w:rFonts w:ascii="Arial" w:hAnsi="Arial" w:cs="Arial"/>
          <w:b/>
          <w:bCs/>
          <w:sz w:val="24"/>
          <w:szCs w:val="24"/>
        </w:rPr>
      </w:pPr>
      <w:r w:rsidRPr="00D3134F">
        <w:rPr>
          <w:rFonts w:ascii="Arial" w:hAnsi="Arial" w:cs="Arial"/>
          <w:b/>
          <w:sz w:val="24"/>
          <w:szCs w:val="24"/>
        </w:rPr>
        <w:t xml:space="preserve">Private and Confidential: </w:t>
      </w:r>
      <w:r w:rsidR="00082BC7">
        <w:rPr>
          <w:rFonts w:ascii="Arial" w:hAnsi="Arial" w:cs="Arial"/>
          <w:b/>
          <w:sz w:val="24"/>
          <w:szCs w:val="24"/>
        </w:rPr>
        <w:t>No</w:t>
      </w:r>
    </w:p>
    <w:p w:rsidR="00D3134F" w:rsidRPr="00D3134F" w:rsidRDefault="00D3134F" w:rsidP="00D3134F">
      <w:pPr>
        <w:rPr>
          <w:rFonts w:ascii="Arial" w:hAnsi="Arial" w:cs="Arial"/>
          <w:sz w:val="24"/>
          <w:szCs w:val="24"/>
        </w:rPr>
      </w:pPr>
    </w:p>
    <w:p w:rsidR="00D3134F" w:rsidRPr="00D3134F" w:rsidRDefault="00E1211C" w:rsidP="00D3134F">
      <w:pP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sidR="005811C2">
        <w:rPr>
          <w:rFonts w:ascii="Arial" w:hAnsi="Arial" w:cs="Arial"/>
          <w:sz w:val="24"/>
          <w:szCs w:val="24"/>
        </w:rPr>
        <w:t>Tuesday, 20 June 2017</w:t>
      </w:r>
      <w:r>
        <w:rPr>
          <w:rFonts w:ascii="Arial" w:hAnsi="Arial" w:cs="Arial"/>
          <w:sz w:val="24"/>
          <w:szCs w:val="24"/>
        </w:rPr>
        <w:fldChar w:fldCharType="end"/>
      </w:r>
    </w:p>
    <w:p w:rsidR="00D3134F" w:rsidRPr="00D3134F" w:rsidRDefault="00D3134F" w:rsidP="00D3134F">
      <w:pPr>
        <w:rPr>
          <w:rFonts w:ascii="Arial" w:hAnsi="Arial" w:cs="Arial"/>
          <w:sz w:val="24"/>
          <w:szCs w:val="24"/>
        </w:rPr>
      </w:pPr>
    </w:p>
    <w:p w:rsidR="00D3134F" w:rsidRPr="00DA1650" w:rsidRDefault="00E1211C" w:rsidP="00D3134F">
      <w:pPr>
        <w:rPr>
          <w:rFonts w:ascii="Arial" w:eastAsia="Times New Roman" w:hAnsi="Arial" w:cs="Arial"/>
          <w:b/>
          <w:sz w:val="24"/>
          <w:szCs w:val="24"/>
        </w:rPr>
      </w:pPr>
      <w:r w:rsidRPr="00DA1650">
        <w:rPr>
          <w:rFonts w:ascii="Arial" w:eastAsia="Times New Roman" w:hAnsi="Arial" w:cs="Arial"/>
          <w:b/>
          <w:sz w:val="24"/>
          <w:szCs w:val="24"/>
        </w:rPr>
        <w:fldChar w:fldCharType="begin"/>
      </w:r>
      <w:r w:rsidRPr="00DA1650">
        <w:rPr>
          <w:rFonts w:ascii="Arial" w:eastAsia="Times New Roman" w:hAnsi="Arial" w:cs="Arial"/>
          <w:b/>
          <w:sz w:val="24"/>
          <w:szCs w:val="24"/>
        </w:rPr>
        <w:instrText xml:space="preserve"> DOCPROPERTY  IssueTitle  \* MERGEFORMAT </w:instrText>
      </w:r>
      <w:r w:rsidRPr="00DA1650">
        <w:rPr>
          <w:rFonts w:ascii="Arial" w:eastAsia="Times New Roman" w:hAnsi="Arial" w:cs="Arial"/>
          <w:b/>
          <w:sz w:val="24"/>
          <w:szCs w:val="24"/>
        </w:rPr>
        <w:fldChar w:fldCharType="separate"/>
      </w:r>
      <w:r w:rsidR="005811C2" w:rsidRPr="00DA1650">
        <w:rPr>
          <w:rFonts w:ascii="Arial" w:eastAsia="Times New Roman" w:hAnsi="Arial" w:cs="Arial"/>
          <w:b/>
          <w:sz w:val="24"/>
          <w:szCs w:val="24"/>
        </w:rPr>
        <w:t>2016/17 - End of Year Review</w:t>
      </w:r>
      <w:r w:rsidRPr="00DA1650">
        <w:rPr>
          <w:rFonts w:ascii="Arial" w:eastAsia="Times New Roman" w:hAnsi="Arial" w:cs="Arial"/>
          <w:b/>
          <w:sz w:val="24"/>
          <w:szCs w:val="24"/>
        </w:rPr>
        <w:fldChar w:fldCharType="end"/>
      </w:r>
    </w:p>
    <w:p w:rsidR="00D3134F" w:rsidRPr="00D3134F" w:rsidRDefault="00DA1650" w:rsidP="00D3134F">
      <w:pPr>
        <w:rPr>
          <w:rFonts w:ascii="Arial" w:hAnsi="Arial" w:cs="Arial"/>
          <w:sz w:val="24"/>
          <w:szCs w:val="24"/>
        </w:rPr>
      </w:pPr>
      <w:r>
        <w:rPr>
          <w:rFonts w:ascii="Arial" w:hAnsi="Arial" w:cs="Arial"/>
          <w:sz w:val="24"/>
          <w:szCs w:val="24"/>
        </w:rPr>
        <w:t>(</w:t>
      </w:r>
      <w:r w:rsidR="00082BC7">
        <w:rPr>
          <w:rFonts w:ascii="Arial" w:hAnsi="Arial" w:cs="Arial"/>
          <w:sz w:val="24"/>
          <w:szCs w:val="24"/>
        </w:rPr>
        <w:t xml:space="preserve">Appendices </w:t>
      </w:r>
      <w:r>
        <w:rPr>
          <w:rFonts w:ascii="Arial" w:hAnsi="Arial" w:cs="Arial"/>
          <w:sz w:val="24"/>
          <w:szCs w:val="24"/>
        </w:rPr>
        <w:t>'</w:t>
      </w:r>
      <w:r w:rsidR="00082BC7">
        <w:rPr>
          <w:rFonts w:ascii="Arial" w:hAnsi="Arial" w:cs="Arial"/>
          <w:sz w:val="24"/>
          <w:szCs w:val="24"/>
        </w:rPr>
        <w:t>1</w:t>
      </w:r>
      <w:r>
        <w:rPr>
          <w:rFonts w:ascii="Arial" w:hAnsi="Arial" w:cs="Arial"/>
          <w:sz w:val="24"/>
          <w:szCs w:val="24"/>
        </w:rPr>
        <w:t>'</w:t>
      </w:r>
      <w:r w:rsidR="00082BC7">
        <w:rPr>
          <w:rFonts w:ascii="Arial" w:hAnsi="Arial" w:cs="Arial"/>
          <w:sz w:val="24"/>
          <w:szCs w:val="24"/>
        </w:rPr>
        <w:t xml:space="preserve">, </w:t>
      </w:r>
      <w:r>
        <w:rPr>
          <w:rFonts w:ascii="Arial" w:hAnsi="Arial" w:cs="Arial"/>
          <w:sz w:val="24"/>
          <w:szCs w:val="24"/>
        </w:rPr>
        <w:t>'</w:t>
      </w:r>
      <w:r w:rsidR="00082BC7">
        <w:rPr>
          <w:rFonts w:ascii="Arial" w:hAnsi="Arial" w:cs="Arial"/>
          <w:sz w:val="24"/>
          <w:szCs w:val="24"/>
        </w:rPr>
        <w:t>2</w:t>
      </w:r>
      <w:r>
        <w:rPr>
          <w:rFonts w:ascii="Arial" w:hAnsi="Arial" w:cs="Arial"/>
          <w:sz w:val="24"/>
          <w:szCs w:val="24"/>
        </w:rPr>
        <w:t>'</w:t>
      </w:r>
      <w:r w:rsidR="00082BC7">
        <w:rPr>
          <w:rFonts w:ascii="Arial" w:hAnsi="Arial" w:cs="Arial"/>
          <w:sz w:val="24"/>
          <w:szCs w:val="24"/>
        </w:rPr>
        <w:t xml:space="preserve">, </w:t>
      </w:r>
      <w:r>
        <w:rPr>
          <w:rFonts w:ascii="Arial" w:hAnsi="Arial" w:cs="Arial"/>
          <w:sz w:val="24"/>
          <w:szCs w:val="24"/>
        </w:rPr>
        <w:t>'</w:t>
      </w:r>
      <w:r w:rsidR="00082BC7">
        <w:rPr>
          <w:rFonts w:ascii="Arial" w:hAnsi="Arial" w:cs="Arial"/>
          <w:sz w:val="24"/>
          <w:szCs w:val="24"/>
        </w:rPr>
        <w:t>3</w:t>
      </w:r>
      <w:r>
        <w:rPr>
          <w:rFonts w:ascii="Arial" w:hAnsi="Arial" w:cs="Arial"/>
          <w:sz w:val="24"/>
          <w:szCs w:val="24"/>
        </w:rPr>
        <w:t>'</w:t>
      </w:r>
      <w:r w:rsidR="00082BC7">
        <w:rPr>
          <w:rFonts w:ascii="Arial" w:hAnsi="Arial" w:cs="Arial"/>
          <w:sz w:val="24"/>
          <w:szCs w:val="24"/>
        </w:rPr>
        <w:t xml:space="preserve">, </w:t>
      </w:r>
      <w:r>
        <w:rPr>
          <w:rFonts w:ascii="Arial" w:hAnsi="Arial" w:cs="Arial"/>
          <w:sz w:val="24"/>
          <w:szCs w:val="24"/>
        </w:rPr>
        <w:t>'</w:t>
      </w:r>
      <w:r w:rsidR="00082BC7">
        <w:rPr>
          <w:rFonts w:ascii="Arial" w:hAnsi="Arial" w:cs="Arial"/>
          <w:sz w:val="24"/>
          <w:szCs w:val="24"/>
        </w:rPr>
        <w:t>4a</w:t>
      </w:r>
      <w:r>
        <w:rPr>
          <w:rFonts w:ascii="Arial" w:hAnsi="Arial" w:cs="Arial"/>
          <w:sz w:val="24"/>
          <w:szCs w:val="24"/>
        </w:rPr>
        <w:t>'</w:t>
      </w:r>
      <w:r w:rsidR="00082BC7">
        <w:rPr>
          <w:rFonts w:ascii="Arial" w:hAnsi="Arial" w:cs="Arial"/>
          <w:sz w:val="24"/>
          <w:szCs w:val="24"/>
        </w:rPr>
        <w:t xml:space="preserve">, </w:t>
      </w:r>
      <w:r>
        <w:rPr>
          <w:rFonts w:ascii="Arial" w:hAnsi="Arial" w:cs="Arial"/>
          <w:sz w:val="24"/>
          <w:szCs w:val="24"/>
        </w:rPr>
        <w:t>'</w:t>
      </w:r>
      <w:r w:rsidR="00082BC7">
        <w:rPr>
          <w:rFonts w:ascii="Arial" w:hAnsi="Arial" w:cs="Arial"/>
          <w:sz w:val="24"/>
          <w:szCs w:val="24"/>
        </w:rPr>
        <w:t>4b</w:t>
      </w:r>
      <w:r>
        <w:rPr>
          <w:rFonts w:ascii="Arial" w:hAnsi="Arial" w:cs="Arial"/>
          <w:sz w:val="24"/>
          <w:szCs w:val="24"/>
        </w:rPr>
        <w:t>'</w:t>
      </w:r>
      <w:r w:rsidR="00082BC7">
        <w:rPr>
          <w:rFonts w:ascii="Arial" w:hAnsi="Arial" w:cs="Arial"/>
          <w:sz w:val="24"/>
          <w:szCs w:val="24"/>
        </w:rPr>
        <w:t xml:space="preserve">, </w:t>
      </w:r>
      <w:r>
        <w:rPr>
          <w:rFonts w:ascii="Arial" w:hAnsi="Arial" w:cs="Arial"/>
          <w:sz w:val="24"/>
          <w:szCs w:val="24"/>
        </w:rPr>
        <w:t>'</w:t>
      </w:r>
      <w:r w:rsidR="00082BC7">
        <w:rPr>
          <w:rFonts w:ascii="Arial" w:hAnsi="Arial" w:cs="Arial"/>
          <w:sz w:val="24"/>
          <w:szCs w:val="24"/>
        </w:rPr>
        <w:t>5</w:t>
      </w:r>
      <w:r>
        <w:rPr>
          <w:rFonts w:ascii="Arial" w:hAnsi="Arial" w:cs="Arial"/>
          <w:sz w:val="24"/>
          <w:szCs w:val="24"/>
        </w:rPr>
        <w:t>' and '6 refer)</w:t>
      </w:r>
    </w:p>
    <w:p w:rsidR="00D3134F" w:rsidRPr="00D3134F" w:rsidRDefault="00D3134F" w:rsidP="00D3134F">
      <w:pPr>
        <w:rPr>
          <w:rFonts w:ascii="Arial" w:hAnsi="Arial" w:cs="Arial"/>
          <w:sz w:val="24"/>
          <w:szCs w:val="24"/>
        </w:rPr>
      </w:pPr>
    </w:p>
    <w:p w:rsidR="00D3134F" w:rsidRPr="00D3134F" w:rsidRDefault="00D3134F" w:rsidP="00D3134F">
      <w:pPr>
        <w:ind w:right="-873"/>
        <w:rPr>
          <w:rFonts w:ascii="Arial" w:hAnsi="Arial" w:cs="Arial"/>
          <w:b/>
          <w:sz w:val="24"/>
          <w:szCs w:val="24"/>
        </w:rPr>
      </w:pPr>
      <w:r w:rsidRPr="00D3134F">
        <w:rPr>
          <w:rFonts w:ascii="Arial" w:hAnsi="Arial" w:cs="Arial"/>
          <w:b/>
          <w:sz w:val="24"/>
          <w:szCs w:val="24"/>
        </w:rPr>
        <w:t>Report Author:</w:t>
      </w:r>
      <w:r w:rsidR="007241EE">
        <w:rPr>
          <w:rFonts w:ascii="Arial" w:hAnsi="Arial" w:cs="Arial"/>
          <w:b/>
          <w:sz w:val="24"/>
          <w:szCs w:val="24"/>
        </w:rPr>
        <w:t xml:space="preserve"> Report of the City Deal Monitoring Group.  Contact Joanne Hudson, </w:t>
      </w:r>
      <w:hyperlink r:id="rId8" w:history="1">
        <w:r w:rsidR="007241EE" w:rsidRPr="007E20D1">
          <w:rPr>
            <w:rStyle w:val="Hyperlink"/>
            <w:rFonts w:ascii="Arial" w:hAnsi="Arial" w:cs="Arial"/>
            <w:b/>
            <w:sz w:val="24"/>
            <w:szCs w:val="24"/>
          </w:rPr>
          <w:t>joanne.hudson@lancashire.gov.uk</w:t>
        </w:r>
      </w:hyperlink>
      <w:r w:rsidR="00DA1650">
        <w:rPr>
          <w:rFonts w:ascii="Arial" w:hAnsi="Arial" w:cs="Arial"/>
          <w:b/>
          <w:sz w:val="24"/>
          <w:szCs w:val="24"/>
        </w:rPr>
        <w:t xml:space="preserve"> or Sarah Parry, </w:t>
      </w:r>
      <w:hyperlink r:id="rId9" w:history="1">
        <w:r w:rsidR="00DA1650" w:rsidRPr="003513A3">
          <w:rPr>
            <w:rStyle w:val="Hyperlink"/>
            <w:rFonts w:ascii="Arial" w:hAnsi="Arial" w:cs="Arial"/>
            <w:b/>
            <w:sz w:val="24"/>
            <w:szCs w:val="24"/>
          </w:rPr>
          <w:t>sarah.parry@lancashire.gov.uk</w:t>
        </w:r>
      </w:hyperlink>
      <w:r w:rsidR="00DA1650">
        <w:rPr>
          <w:rFonts w:ascii="Arial" w:hAnsi="Arial" w:cs="Arial"/>
          <w:b/>
          <w:sz w:val="24"/>
          <w:szCs w:val="24"/>
        </w:rPr>
        <w:t xml:space="preserve"> </w:t>
      </w:r>
      <w:bookmarkStart w:id="0" w:name="_GoBack"/>
      <w:bookmarkEnd w:id="0"/>
      <w:r w:rsidR="00DA1650">
        <w:rPr>
          <w:rFonts w:ascii="Arial" w:hAnsi="Arial" w:cs="Arial"/>
          <w:b/>
          <w:sz w:val="24"/>
          <w:szCs w:val="24"/>
        </w:rPr>
        <w:t xml:space="preserve">  </w:t>
      </w:r>
    </w:p>
    <w:p w:rsidR="00D3134F" w:rsidRPr="00D3134F" w:rsidRDefault="00D3134F" w:rsidP="00D3134F">
      <w:pPr>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134F" w:rsidRPr="00D3134F" w:rsidTr="000B1F3A">
        <w:tc>
          <w:tcPr>
            <w:tcW w:w="9180" w:type="dxa"/>
          </w:tcPr>
          <w:p w:rsidR="00D3134F" w:rsidRPr="00D3134F" w:rsidRDefault="00D3134F" w:rsidP="00D3134F">
            <w:pPr>
              <w:pStyle w:val="Header"/>
              <w:rPr>
                <w:rFonts w:ascii="Arial" w:hAnsi="Arial" w:cs="Arial"/>
                <w:sz w:val="24"/>
                <w:szCs w:val="24"/>
              </w:rPr>
            </w:pPr>
          </w:p>
          <w:p w:rsidR="00D3134F" w:rsidRPr="00D3134F" w:rsidRDefault="00D3134F"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D3134F" w:rsidP="00D3134F">
            <w:pPr>
              <w:rPr>
                <w:rFonts w:ascii="Arial" w:hAnsi="Arial" w:cs="Arial"/>
                <w:sz w:val="24"/>
                <w:szCs w:val="24"/>
              </w:rPr>
            </w:pPr>
          </w:p>
          <w:p w:rsidR="007241EE" w:rsidRDefault="007241EE" w:rsidP="007241EE">
            <w:pPr>
              <w:tabs>
                <w:tab w:val="left" w:pos="29"/>
              </w:tabs>
              <w:ind w:left="29"/>
              <w:rPr>
                <w:rFonts w:ascii="Arial" w:hAnsi="Arial" w:cs="Arial"/>
                <w:sz w:val="24"/>
                <w:szCs w:val="24"/>
              </w:rPr>
            </w:pPr>
            <w:r w:rsidRPr="009C3CAF">
              <w:rPr>
                <w:rFonts w:ascii="Arial" w:hAnsi="Arial" w:cs="Arial"/>
                <w:sz w:val="24"/>
                <w:szCs w:val="24"/>
              </w:rPr>
              <w:t xml:space="preserve">This report provides the City Deal Executive and Stewardship Board (CD E&amp;SB) with an overview of how the Programme has performed during and up to March 2017 (Year 3).  The report brings together both quantitative and qualitative information relating to the Core/Supporting Outputs and key projects/development sites in the Business and Delivery Plan.  This information is used to report to government on progress towards agreed targets and notes progress up to March 2017 only.  </w:t>
            </w:r>
          </w:p>
          <w:p w:rsidR="00DA1650" w:rsidRPr="009C3CAF" w:rsidRDefault="00DA1650" w:rsidP="007241EE">
            <w:pPr>
              <w:tabs>
                <w:tab w:val="left" w:pos="29"/>
              </w:tabs>
              <w:ind w:left="29"/>
              <w:rPr>
                <w:rFonts w:ascii="Arial" w:hAnsi="Arial" w:cs="Arial"/>
                <w:sz w:val="24"/>
                <w:szCs w:val="24"/>
              </w:rPr>
            </w:pPr>
          </w:p>
          <w:p w:rsidR="007241EE" w:rsidRDefault="007241EE" w:rsidP="007241EE">
            <w:pPr>
              <w:tabs>
                <w:tab w:val="left" w:pos="29"/>
              </w:tabs>
              <w:ind w:left="29"/>
              <w:rPr>
                <w:rFonts w:ascii="Arial" w:hAnsi="Arial" w:cs="Arial"/>
                <w:sz w:val="24"/>
                <w:szCs w:val="24"/>
              </w:rPr>
            </w:pPr>
            <w:r w:rsidRPr="009C3CAF">
              <w:rPr>
                <w:rFonts w:ascii="Arial" w:hAnsi="Arial" w:cs="Arial"/>
                <w:sz w:val="24"/>
                <w:szCs w:val="24"/>
              </w:rPr>
              <w:t xml:space="preserve">The report provides an update on the following outputs and activities: </w:t>
            </w:r>
          </w:p>
          <w:p w:rsidR="00DA1650" w:rsidRPr="009C3CAF" w:rsidRDefault="00DA1650" w:rsidP="007241EE">
            <w:pPr>
              <w:tabs>
                <w:tab w:val="left" w:pos="29"/>
              </w:tabs>
              <w:ind w:left="29"/>
              <w:rPr>
                <w:rFonts w:ascii="Arial" w:hAnsi="Arial" w:cs="Arial"/>
                <w:sz w:val="24"/>
                <w:szCs w:val="24"/>
              </w:rPr>
            </w:pPr>
          </w:p>
          <w:p w:rsidR="007241EE" w:rsidRDefault="007241EE" w:rsidP="007241EE">
            <w:pPr>
              <w:pStyle w:val="ListParagraph"/>
              <w:numPr>
                <w:ilvl w:val="0"/>
                <w:numId w:val="5"/>
              </w:numPr>
              <w:tabs>
                <w:tab w:val="left" w:pos="29"/>
              </w:tabs>
              <w:spacing w:line="259" w:lineRule="auto"/>
              <w:ind w:left="29" w:firstLine="0"/>
              <w:rPr>
                <w:rFonts w:ascii="Arial" w:hAnsi="Arial" w:cs="Arial"/>
                <w:sz w:val="24"/>
                <w:szCs w:val="24"/>
              </w:rPr>
            </w:pPr>
            <w:r>
              <w:rPr>
                <w:rFonts w:ascii="Arial" w:hAnsi="Arial" w:cs="Arial"/>
                <w:sz w:val="24"/>
                <w:szCs w:val="24"/>
              </w:rPr>
              <w:t>Housing outputs</w:t>
            </w:r>
          </w:p>
          <w:p w:rsidR="007241EE" w:rsidRDefault="007241EE" w:rsidP="007241EE">
            <w:pPr>
              <w:pStyle w:val="ListParagraph"/>
              <w:numPr>
                <w:ilvl w:val="0"/>
                <w:numId w:val="5"/>
              </w:numPr>
              <w:tabs>
                <w:tab w:val="left" w:pos="29"/>
              </w:tabs>
              <w:spacing w:line="259" w:lineRule="auto"/>
              <w:ind w:left="29" w:firstLine="0"/>
              <w:rPr>
                <w:rFonts w:ascii="Arial" w:hAnsi="Arial" w:cs="Arial"/>
                <w:sz w:val="24"/>
                <w:szCs w:val="24"/>
              </w:rPr>
            </w:pPr>
            <w:r>
              <w:rPr>
                <w:rFonts w:ascii="Arial" w:hAnsi="Arial" w:cs="Arial"/>
                <w:sz w:val="24"/>
                <w:szCs w:val="24"/>
              </w:rPr>
              <w:t>Commercial floorspace outputs</w:t>
            </w:r>
          </w:p>
          <w:p w:rsidR="007241EE" w:rsidRDefault="007241EE" w:rsidP="007241EE">
            <w:pPr>
              <w:pStyle w:val="ListParagraph"/>
              <w:numPr>
                <w:ilvl w:val="0"/>
                <w:numId w:val="5"/>
              </w:numPr>
              <w:tabs>
                <w:tab w:val="left" w:pos="29"/>
              </w:tabs>
              <w:spacing w:line="259" w:lineRule="auto"/>
              <w:ind w:left="29" w:firstLine="0"/>
              <w:rPr>
                <w:rFonts w:ascii="Arial" w:hAnsi="Arial" w:cs="Arial"/>
                <w:sz w:val="24"/>
                <w:szCs w:val="24"/>
              </w:rPr>
            </w:pPr>
            <w:r>
              <w:rPr>
                <w:rFonts w:ascii="Arial" w:hAnsi="Arial" w:cs="Arial"/>
                <w:sz w:val="24"/>
                <w:szCs w:val="24"/>
              </w:rPr>
              <w:t>Jobs related to commercial floorspace/infrastructure</w:t>
            </w:r>
          </w:p>
          <w:p w:rsidR="007241EE" w:rsidRPr="00282D9A" w:rsidRDefault="007241EE" w:rsidP="007241EE">
            <w:pPr>
              <w:pStyle w:val="ListParagraph"/>
              <w:numPr>
                <w:ilvl w:val="0"/>
                <w:numId w:val="5"/>
              </w:numPr>
              <w:tabs>
                <w:tab w:val="left" w:pos="29"/>
              </w:tabs>
              <w:spacing w:line="259" w:lineRule="auto"/>
              <w:ind w:left="29" w:firstLine="0"/>
              <w:rPr>
                <w:rFonts w:ascii="Arial" w:hAnsi="Arial" w:cs="Arial"/>
                <w:sz w:val="24"/>
                <w:szCs w:val="24"/>
              </w:rPr>
            </w:pPr>
            <w:r>
              <w:rPr>
                <w:rFonts w:ascii="Arial" w:hAnsi="Arial" w:cs="Arial"/>
                <w:sz w:val="24"/>
                <w:szCs w:val="24"/>
              </w:rPr>
              <w:t>Employment and skills</w:t>
            </w:r>
          </w:p>
          <w:p w:rsidR="007241EE" w:rsidRDefault="007241EE" w:rsidP="007241EE">
            <w:pPr>
              <w:pStyle w:val="ListParagraph"/>
              <w:numPr>
                <w:ilvl w:val="0"/>
                <w:numId w:val="5"/>
              </w:numPr>
              <w:tabs>
                <w:tab w:val="left" w:pos="29"/>
              </w:tabs>
              <w:spacing w:line="259" w:lineRule="auto"/>
              <w:ind w:left="29" w:firstLine="0"/>
              <w:rPr>
                <w:rFonts w:ascii="Arial" w:hAnsi="Arial" w:cs="Arial"/>
                <w:sz w:val="24"/>
                <w:szCs w:val="24"/>
              </w:rPr>
            </w:pPr>
            <w:r w:rsidRPr="00282D9A">
              <w:rPr>
                <w:rFonts w:ascii="Arial" w:hAnsi="Arial" w:cs="Arial"/>
                <w:sz w:val="24"/>
                <w:szCs w:val="24"/>
              </w:rPr>
              <w:t>Private sector investment</w:t>
            </w:r>
          </w:p>
          <w:p w:rsidR="007241EE" w:rsidRPr="00282D9A" w:rsidRDefault="007241EE" w:rsidP="007241EE">
            <w:pPr>
              <w:pStyle w:val="ListParagraph"/>
              <w:numPr>
                <w:ilvl w:val="0"/>
                <w:numId w:val="5"/>
              </w:numPr>
              <w:tabs>
                <w:tab w:val="left" w:pos="29"/>
              </w:tabs>
              <w:spacing w:line="259" w:lineRule="auto"/>
              <w:ind w:left="29" w:firstLine="0"/>
              <w:rPr>
                <w:rFonts w:ascii="Arial" w:hAnsi="Arial" w:cs="Arial"/>
                <w:sz w:val="24"/>
                <w:szCs w:val="24"/>
              </w:rPr>
            </w:pPr>
            <w:r w:rsidRPr="00282D9A">
              <w:rPr>
                <w:rFonts w:ascii="Arial" w:hAnsi="Arial" w:cs="Arial"/>
                <w:sz w:val="24"/>
                <w:szCs w:val="24"/>
              </w:rPr>
              <w:t>Infrastructure</w:t>
            </w:r>
          </w:p>
          <w:p w:rsidR="007241EE" w:rsidRPr="00282D9A" w:rsidRDefault="007241EE" w:rsidP="007241EE">
            <w:pPr>
              <w:pStyle w:val="ListParagraph"/>
              <w:numPr>
                <w:ilvl w:val="0"/>
                <w:numId w:val="5"/>
              </w:numPr>
              <w:tabs>
                <w:tab w:val="left" w:pos="29"/>
              </w:tabs>
              <w:spacing w:line="259" w:lineRule="auto"/>
              <w:ind w:left="29" w:firstLine="0"/>
              <w:rPr>
                <w:rFonts w:ascii="Arial" w:hAnsi="Arial" w:cs="Arial"/>
                <w:sz w:val="24"/>
                <w:szCs w:val="24"/>
              </w:rPr>
            </w:pPr>
            <w:r w:rsidRPr="00282D9A">
              <w:rPr>
                <w:rFonts w:ascii="Arial" w:hAnsi="Arial" w:cs="Arial"/>
                <w:sz w:val="24"/>
                <w:szCs w:val="24"/>
              </w:rPr>
              <w:t>Risk Management</w:t>
            </w:r>
          </w:p>
          <w:p w:rsidR="007241EE" w:rsidRDefault="007241EE" w:rsidP="007241EE">
            <w:pPr>
              <w:tabs>
                <w:tab w:val="left" w:pos="426"/>
              </w:tabs>
              <w:ind w:left="360" w:hanging="360"/>
              <w:rPr>
                <w:rFonts w:ascii="Arial" w:hAnsi="Arial" w:cs="Arial"/>
                <w:sz w:val="24"/>
                <w:szCs w:val="24"/>
              </w:rPr>
            </w:pPr>
          </w:p>
          <w:p w:rsidR="00D3134F" w:rsidRDefault="007241EE" w:rsidP="007241EE">
            <w:pPr>
              <w:tabs>
                <w:tab w:val="left" w:pos="0"/>
              </w:tabs>
              <w:ind w:left="29" w:hanging="29"/>
              <w:rPr>
                <w:rFonts w:ascii="Arial" w:hAnsi="Arial" w:cs="Arial"/>
                <w:sz w:val="24"/>
                <w:szCs w:val="24"/>
              </w:rPr>
            </w:pPr>
            <w:r>
              <w:rPr>
                <w:rFonts w:ascii="Arial" w:hAnsi="Arial" w:cs="Arial"/>
                <w:sz w:val="24"/>
                <w:szCs w:val="24"/>
              </w:rPr>
              <w:t xml:space="preserve">A dashboard summary of the key information outlined in this report can be found in </w:t>
            </w:r>
            <w:r w:rsidR="00DA1650">
              <w:rPr>
                <w:rFonts w:ascii="Arial" w:hAnsi="Arial" w:cs="Arial"/>
                <w:sz w:val="24"/>
                <w:szCs w:val="24"/>
              </w:rPr>
              <w:t>A</w:t>
            </w:r>
            <w:r w:rsidRPr="00392823">
              <w:rPr>
                <w:rFonts w:ascii="Arial" w:hAnsi="Arial" w:cs="Arial"/>
                <w:sz w:val="24"/>
                <w:szCs w:val="24"/>
              </w:rPr>
              <w:t>ppendix 1.</w:t>
            </w:r>
          </w:p>
          <w:p w:rsidR="00DA1650" w:rsidRPr="00D3134F" w:rsidRDefault="00DA1650" w:rsidP="007241EE">
            <w:pPr>
              <w:tabs>
                <w:tab w:val="left" w:pos="0"/>
              </w:tabs>
              <w:ind w:left="29" w:hanging="29"/>
              <w:rPr>
                <w:rFonts w:ascii="Arial" w:hAnsi="Arial" w:cs="Arial"/>
                <w:sz w:val="24"/>
                <w:szCs w:val="24"/>
              </w:rPr>
            </w:pPr>
          </w:p>
          <w:p w:rsidR="00D3134F" w:rsidRPr="00D3134F" w:rsidRDefault="00D3134F" w:rsidP="007241EE">
            <w:pPr>
              <w:pStyle w:val="Heading5"/>
              <w:tabs>
                <w:tab w:val="left" w:pos="0"/>
              </w:tabs>
              <w:spacing w:before="0" w:line="240" w:lineRule="auto"/>
              <w:ind w:left="29" w:hanging="29"/>
              <w:rPr>
                <w:rFonts w:ascii="Arial" w:hAnsi="Arial" w:cs="Arial"/>
                <w:b/>
                <w:color w:val="auto"/>
              </w:rPr>
            </w:pPr>
            <w:r w:rsidRPr="00D3134F">
              <w:rPr>
                <w:rFonts w:ascii="Arial" w:hAnsi="Arial" w:cs="Arial"/>
                <w:b/>
                <w:color w:val="auto"/>
              </w:rPr>
              <w:t>Recommendation</w:t>
            </w:r>
          </w:p>
          <w:p w:rsidR="00D3134F" w:rsidRPr="00D3134F" w:rsidRDefault="00D3134F" w:rsidP="007241EE">
            <w:pPr>
              <w:tabs>
                <w:tab w:val="left" w:pos="0"/>
              </w:tabs>
              <w:ind w:left="29" w:hanging="29"/>
              <w:rPr>
                <w:rFonts w:ascii="Arial" w:hAnsi="Arial" w:cs="Arial"/>
                <w:sz w:val="24"/>
                <w:szCs w:val="24"/>
              </w:rPr>
            </w:pPr>
          </w:p>
          <w:p w:rsidR="007241EE" w:rsidRPr="006B0314" w:rsidRDefault="007241EE" w:rsidP="007241EE">
            <w:pPr>
              <w:tabs>
                <w:tab w:val="left" w:pos="0"/>
              </w:tabs>
              <w:ind w:left="29" w:hanging="29"/>
              <w:rPr>
                <w:rFonts w:ascii="Arial" w:hAnsi="Arial" w:cs="Arial"/>
                <w:sz w:val="24"/>
                <w:szCs w:val="24"/>
              </w:rPr>
            </w:pPr>
            <w:r w:rsidRPr="006B0314">
              <w:rPr>
                <w:rFonts w:ascii="Arial" w:hAnsi="Arial" w:cs="Arial"/>
                <w:sz w:val="24"/>
                <w:szCs w:val="24"/>
              </w:rPr>
              <w:t>The City Deal Executive and Stewardship Board is requested to</w:t>
            </w:r>
            <w:r>
              <w:rPr>
                <w:rFonts w:ascii="Arial" w:hAnsi="Arial" w:cs="Arial"/>
                <w:sz w:val="24"/>
                <w:szCs w:val="24"/>
              </w:rPr>
              <w:t xml:space="preserve"> n</w:t>
            </w:r>
            <w:r w:rsidRPr="006B0314">
              <w:rPr>
                <w:rFonts w:ascii="Arial" w:hAnsi="Arial" w:cs="Arial"/>
                <w:sz w:val="24"/>
                <w:szCs w:val="24"/>
              </w:rPr>
              <w:t>ote the overall performance of the Programme in 2016/17 and</w:t>
            </w:r>
            <w:r>
              <w:rPr>
                <w:rFonts w:ascii="Arial" w:hAnsi="Arial" w:cs="Arial"/>
                <w:sz w:val="24"/>
                <w:szCs w:val="24"/>
              </w:rPr>
              <w:t xml:space="preserve"> e</w:t>
            </w:r>
            <w:r w:rsidRPr="006B0314">
              <w:rPr>
                <w:rFonts w:ascii="Arial" w:hAnsi="Arial" w:cs="Arial"/>
                <w:sz w:val="24"/>
                <w:szCs w:val="24"/>
              </w:rPr>
              <w:t>ndorse the proposed Annual Return to Government as set out in the report.</w:t>
            </w:r>
          </w:p>
          <w:p w:rsidR="00D3134F" w:rsidRPr="00D3134F" w:rsidRDefault="00D3134F" w:rsidP="00D3134F">
            <w:pPr>
              <w:rPr>
                <w:rFonts w:ascii="Arial" w:hAnsi="Arial" w:cs="Arial"/>
                <w:sz w:val="24"/>
                <w:szCs w:val="24"/>
              </w:rPr>
            </w:pPr>
          </w:p>
        </w:tc>
      </w:tr>
    </w:tbl>
    <w:p w:rsidR="00D3134F" w:rsidRPr="00D3134F" w:rsidRDefault="00D3134F" w:rsidP="00D3134F">
      <w:pPr>
        <w:pStyle w:val="Header"/>
        <w:rPr>
          <w:rFonts w:ascii="Arial" w:hAnsi="Arial" w:cs="Arial"/>
          <w:sz w:val="24"/>
          <w:szCs w:val="24"/>
        </w:rPr>
      </w:pPr>
    </w:p>
    <w:p w:rsidR="00DA1650" w:rsidRDefault="00DA1650" w:rsidP="00D3134F">
      <w:pPr>
        <w:rPr>
          <w:rFonts w:ascii="Arial" w:hAnsi="Arial" w:cs="Arial"/>
          <w:b/>
          <w:sz w:val="24"/>
          <w:szCs w:val="24"/>
        </w:rPr>
      </w:pPr>
    </w:p>
    <w:p w:rsidR="00DA1650" w:rsidRDefault="00DA1650" w:rsidP="00D3134F">
      <w:pPr>
        <w:rPr>
          <w:rFonts w:ascii="Arial" w:hAnsi="Arial" w:cs="Arial"/>
          <w:b/>
          <w:sz w:val="24"/>
          <w:szCs w:val="24"/>
        </w:rPr>
      </w:pPr>
    </w:p>
    <w:p w:rsidR="00DA1650" w:rsidRDefault="00DA1650" w:rsidP="00D3134F">
      <w:pPr>
        <w:rPr>
          <w:rFonts w:ascii="Arial" w:hAnsi="Arial" w:cs="Arial"/>
          <w:b/>
          <w:sz w:val="24"/>
          <w:szCs w:val="24"/>
        </w:rPr>
      </w:pPr>
    </w:p>
    <w:p w:rsidR="00D3134F" w:rsidRDefault="00D3134F" w:rsidP="00D3134F">
      <w:pPr>
        <w:rPr>
          <w:rFonts w:ascii="Arial" w:hAnsi="Arial" w:cs="Arial"/>
          <w:b/>
          <w:sz w:val="24"/>
          <w:szCs w:val="24"/>
        </w:rPr>
      </w:pPr>
      <w:r w:rsidRPr="00D3134F">
        <w:rPr>
          <w:rFonts w:ascii="Arial" w:hAnsi="Arial" w:cs="Arial"/>
          <w:b/>
          <w:sz w:val="24"/>
          <w:szCs w:val="24"/>
        </w:rPr>
        <w:t xml:space="preserve">Background and Advice </w:t>
      </w:r>
    </w:p>
    <w:p w:rsidR="00DA1650" w:rsidRDefault="00DA1650" w:rsidP="00DA1650">
      <w:pPr>
        <w:tabs>
          <w:tab w:val="left" w:pos="426"/>
        </w:tabs>
        <w:rPr>
          <w:rFonts w:ascii="Arial" w:hAnsi="Arial" w:cs="Arial"/>
          <w:b/>
          <w:sz w:val="24"/>
          <w:szCs w:val="24"/>
        </w:rPr>
      </w:pPr>
    </w:p>
    <w:p w:rsidR="007241EE" w:rsidRPr="009C3CAF" w:rsidRDefault="007241EE" w:rsidP="00DA1650">
      <w:pPr>
        <w:tabs>
          <w:tab w:val="left" w:pos="426"/>
        </w:tabs>
        <w:rPr>
          <w:rFonts w:ascii="Arial" w:hAnsi="Arial" w:cs="Arial"/>
          <w:sz w:val="24"/>
          <w:szCs w:val="24"/>
        </w:rPr>
      </w:pPr>
      <w:r w:rsidRPr="009C3CAF">
        <w:rPr>
          <w:rFonts w:ascii="Arial" w:hAnsi="Arial" w:cs="Arial"/>
          <w:sz w:val="24"/>
          <w:szCs w:val="24"/>
        </w:rPr>
        <w:t>The Stewardship Board previously agreed that two sets of monitoring outputs be prepared annually</w:t>
      </w:r>
      <w:r>
        <w:rPr>
          <w:rFonts w:ascii="Arial" w:hAnsi="Arial" w:cs="Arial"/>
          <w:sz w:val="24"/>
          <w:szCs w:val="24"/>
        </w:rPr>
        <w:t>:</w:t>
      </w:r>
      <w:r w:rsidRPr="009C3CAF">
        <w:rPr>
          <w:rFonts w:ascii="Arial" w:hAnsi="Arial" w:cs="Arial"/>
          <w:sz w:val="24"/>
          <w:szCs w:val="24"/>
        </w:rPr>
        <w:t xml:space="preserve">   </w:t>
      </w:r>
    </w:p>
    <w:p w:rsidR="00DA1650" w:rsidRDefault="00DA1650" w:rsidP="00DA1650">
      <w:pPr>
        <w:tabs>
          <w:tab w:val="left" w:pos="426"/>
        </w:tabs>
        <w:rPr>
          <w:rFonts w:ascii="Arial" w:hAnsi="Arial" w:cs="Arial"/>
          <w:sz w:val="24"/>
          <w:szCs w:val="24"/>
        </w:rPr>
      </w:pPr>
    </w:p>
    <w:p w:rsidR="007241EE" w:rsidRPr="009C3CAF" w:rsidRDefault="007241EE" w:rsidP="00DA1650">
      <w:pPr>
        <w:tabs>
          <w:tab w:val="left" w:pos="426"/>
        </w:tabs>
        <w:rPr>
          <w:rFonts w:ascii="Arial" w:hAnsi="Arial" w:cs="Arial"/>
          <w:sz w:val="24"/>
          <w:szCs w:val="24"/>
        </w:rPr>
      </w:pPr>
      <w:r w:rsidRPr="009C3CAF">
        <w:rPr>
          <w:rFonts w:ascii="Arial" w:hAnsi="Arial" w:cs="Arial"/>
          <w:sz w:val="24"/>
          <w:szCs w:val="24"/>
        </w:rPr>
        <w:t xml:space="preserve">Firstly, a Core Output data set, to include housing units (consented and completed), commercial floorspace (consented and completed), private sector investment and jobs accommodated. It was agreed that this data set should form the substantive part of the Annual Monitoring Return to Government, and; </w:t>
      </w:r>
    </w:p>
    <w:p w:rsidR="00DA1650" w:rsidRDefault="00DA1650" w:rsidP="00DA1650">
      <w:pPr>
        <w:tabs>
          <w:tab w:val="left" w:pos="426"/>
        </w:tabs>
        <w:rPr>
          <w:rFonts w:ascii="Arial" w:hAnsi="Arial" w:cs="Arial"/>
          <w:sz w:val="24"/>
          <w:szCs w:val="24"/>
        </w:rPr>
      </w:pPr>
    </w:p>
    <w:p w:rsidR="007241EE" w:rsidRPr="009C3CAF" w:rsidRDefault="007241EE" w:rsidP="00DA1650">
      <w:pPr>
        <w:tabs>
          <w:tab w:val="left" w:pos="426"/>
        </w:tabs>
        <w:rPr>
          <w:rFonts w:ascii="Arial" w:hAnsi="Arial" w:cs="Arial"/>
          <w:sz w:val="24"/>
          <w:szCs w:val="24"/>
        </w:rPr>
      </w:pPr>
      <w:r w:rsidRPr="009C3CAF">
        <w:rPr>
          <w:rFonts w:ascii="Arial" w:hAnsi="Arial" w:cs="Arial"/>
          <w:sz w:val="24"/>
          <w:szCs w:val="24"/>
        </w:rPr>
        <w:t xml:space="preserve">Secondly, a Supporting Output data set to include metrics to track planning consents, development activity on specific sites (including HCA sites), retail vacancy outputs, and outputs to monitor progress with transport and community </w:t>
      </w:r>
      <w:r>
        <w:rPr>
          <w:rFonts w:ascii="Arial" w:hAnsi="Arial" w:cs="Arial"/>
          <w:sz w:val="24"/>
          <w:szCs w:val="24"/>
        </w:rPr>
        <w:t>schemes</w:t>
      </w:r>
      <w:r w:rsidRPr="009C3CAF">
        <w:rPr>
          <w:rFonts w:ascii="Arial" w:hAnsi="Arial" w:cs="Arial"/>
          <w:sz w:val="24"/>
          <w:szCs w:val="24"/>
        </w:rPr>
        <w:t xml:space="preserve">. It was agreed that this data set should be presented annually to the Stewardship Board and Executive for consideration by the local partners.  </w:t>
      </w:r>
    </w:p>
    <w:p w:rsidR="00DA1650" w:rsidRDefault="00DA1650" w:rsidP="00DA1650">
      <w:pPr>
        <w:tabs>
          <w:tab w:val="left" w:pos="426"/>
        </w:tabs>
        <w:rPr>
          <w:rFonts w:ascii="Arial" w:hAnsi="Arial" w:cs="Arial"/>
          <w:sz w:val="24"/>
          <w:szCs w:val="24"/>
        </w:rPr>
      </w:pPr>
    </w:p>
    <w:p w:rsidR="007241EE" w:rsidRPr="009C3CAF" w:rsidRDefault="007241EE" w:rsidP="00DA1650">
      <w:pPr>
        <w:tabs>
          <w:tab w:val="left" w:pos="426"/>
        </w:tabs>
        <w:rPr>
          <w:rFonts w:ascii="Arial" w:hAnsi="Arial" w:cs="Arial"/>
          <w:sz w:val="24"/>
          <w:szCs w:val="24"/>
        </w:rPr>
      </w:pPr>
      <w:r w:rsidRPr="009C3CAF">
        <w:rPr>
          <w:rFonts w:ascii="Arial" w:hAnsi="Arial" w:cs="Arial"/>
          <w:sz w:val="24"/>
          <w:szCs w:val="24"/>
        </w:rPr>
        <w:t>This report sets out Year 3 performance and performance to date against both sets of outputs.  At the outset of the Deal, the annual housing completion targets were agreed with Government with these being revised by Keppie Massie in 2016.  This report sets out performance against these revised targets and trajectories which are adjusted annually to ensure that any under/over performance is reflected in future years' targets.</w:t>
      </w:r>
    </w:p>
    <w:p w:rsidR="007241EE" w:rsidRDefault="007241EE" w:rsidP="007241EE">
      <w:pPr>
        <w:tabs>
          <w:tab w:val="left" w:pos="426"/>
        </w:tabs>
        <w:ind w:left="360" w:hanging="360"/>
        <w:contextualSpacing/>
        <w:rPr>
          <w:rFonts w:ascii="Arial" w:hAnsi="Arial" w:cs="Arial"/>
          <w:sz w:val="24"/>
          <w:szCs w:val="24"/>
        </w:rPr>
      </w:pPr>
    </w:p>
    <w:p w:rsidR="007241EE" w:rsidRPr="009C3CAF" w:rsidRDefault="007241EE" w:rsidP="007241EE">
      <w:pPr>
        <w:tabs>
          <w:tab w:val="left" w:pos="426"/>
        </w:tabs>
        <w:rPr>
          <w:rFonts w:ascii="Arial" w:hAnsi="Arial" w:cs="Arial"/>
          <w:b/>
          <w:sz w:val="24"/>
          <w:szCs w:val="24"/>
        </w:rPr>
      </w:pPr>
      <w:r w:rsidRPr="009C3CAF">
        <w:rPr>
          <w:rFonts w:ascii="Arial" w:hAnsi="Arial" w:cs="Arial"/>
          <w:b/>
          <w:sz w:val="24"/>
          <w:szCs w:val="24"/>
        </w:rPr>
        <w:t xml:space="preserve">Housing Outputs </w:t>
      </w:r>
    </w:p>
    <w:p w:rsidR="00DA1650" w:rsidRDefault="00DA1650" w:rsidP="00DA1650">
      <w:pPr>
        <w:tabs>
          <w:tab w:val="left" w:pos="426"/>
        </w:tabs>
        <w:rPr>
          <w:rFonts w:ascii="Arial" w:hAnsi="Arial" w:cs="Arial"/>
          <w:sz w:val="24"/>
          <w:szCs w:val="24"/>
        </w:rPr>
      </w:pPr>
    </w:p>
    <w:p w:rsidR="007241EE" w:rsidRDefault="007241EE" w:rsidP="00DA1650">
      <w:pPr>
        <w:tabs>
          <w:tab w:val="left" w:pos="426"/>
        </w:tabs>
        <w:rPr>
          <w:rFonts w:ascii="Arial" w:hAnsi="Arial" w:cs="Arial"/>
          <w:sz w:val="24"/>
          <w:szCs w:val="24"/>
        </w:rPr>
      </w:pPr>
      <w:r w:rsidRPr="009C3CAF">
        <w:rPr>
          <w:rFonts w:ascii="Arial" w:hAnsi="Arial" w:cs="Arial"/>
          <w:sz w:val="24"/>
          <w:szCs w:val="24"/>
        </w:rPr>
        <w:t xml:space="preserve">Overall, since the start of the Deal period, housing completions are ahead of forecast with </w:t>
      </w:r>
      <w:r w:rsidRPr="009C3CAF">
        <w:rPr>
          <w:rFonts w:ascii="Arial" w:hAnsi="Arial" w:cs="Arial"/>
          <w:b/>
          <w:sz w:val="24"/>
          <w:szCs w:val="24"/>
        </w:rPr>
        <w:t>2</w:t>
      </w:r>
      <w:r>
        <w:rPr>
          <w:rFonts w:ascii="Arial" w:hAnsi="Arial" w:cs="Arial"/>
          <w:b/>
          <w:sz w:val="24"/>
          <w:szCs w:val="24"/>
        </w:rPr>
        <w:t>,</w:t>
      </w:r>
      <w:r w:rsidRPr="009C3CAF">
        <w:rPr>
          <w:rFonts w:ascii="Arial" w:hAnsi="Arial" w:cs="Arial"/>
          <w:b/>
          <w:sz w:val="24"/>
          <w:szCs w:val="24"/>
        </w:rPr>
        <w:t>614</w:t>
      </w:r>
      <w:r w:rsidRPr="009C3CAF">
        <w:rPr>
          <w:rFonts w:ascii="Arial" w:hAnsi="Arial" w:cs="Arial"/>
          <w:sz w:val="24"/>
          <w:szCs w:val="24"/>
        </w:rPr>
        <w:t xml:space="preserve"> completions versus a target of </w:t>
      </w:r>
      <w:r w:rsidRPr="009C3CAF">
        <w:rPr>
          <w:rFonts w:ascii="Arial" w:hAnsi="Arial" w:cs="Arial"/>
          <w:b/>
          <w:sz w:val="24"/>
          <w:szCs w:val="24"/>
        </w:rPr>
        <w:t>2</w:t>
      </w:r>
      <w:r>
        <w:rPr>
          <w:rFonts w:ascii="Arial" w:hAnsi="Arial" w:cs="Arial"/>
          <w:b/>
          <w:sz w:val="24"/>
          <w:szCs w:val="24"/>
        </w:rPr>
        <w:t>,</w:t>
      </w:r>
      <w:r w:rsidRPr="009C3CAF">
        <w:rPr>
          <w:rFonts w:ascii="Arial" w:hAnsi="Arial" w:cs="Arial"/>
          <w:b/>
          <w:sz w:val="24"/>
          <w:szCs w:val="24"/>
        </w:rPr>
        <w:t>058</w:t>
      </w:r>
      <w:r w:rsidRPr="009C3CAF">
        <w:rPr>
          <w:rFonts w:ascii="Arial" w:hAnsi="Arial" w:cs="Arial"/>
          <w:sz w:val="24"/>
          <w:szCs w:val="24"/>
        </w:rPr>
        <w:t xml:space="preserve"> which is mainly due to strong performance</w:t>
      </w:r>
      <w:r>
        <w:rPr>
          <w:rFonts w:ascii="Arial" w:hAnsi="Arial" w:cs="Arial"/>
          <w:sz w:val="24"/>
          <w:szCs w:val="24"/>
        </w:rPr>
        <w:t xml:space="preserve"> achieved in 14/15.  In addition, </w:t>
      </w:r>
      <w:r w:rsidRPr="009C3CAF">
        <w:rPr>
          <w:rFonts w:ascii="Arial" w:hAnsi="Arial" w:cs="Arial"/>
          <w:sz w:val="24"/>
          <w:szCs w:val="24"/>
        </w:rPr>
        <w:t xml:space="preserve">actual completions in 2016/17 in Preston have been higher than expected with 10 volume housebuilders on site at the North West Preston Strategic Location and another about to start. There are signs that the market has been strong with indications of houses in North West Preston being sold ‘off plan’. There is also now an additional builder on site at the HCA Cottam Strategic Site.  </w:t>
      </w:r>
    </w:p>
    <w:p w:rsidR="00DA1650" w:rsidRDefault="00DA1650" w:rsidP="00DA1650">
      <w:pPr>
        <w:tabs>
          <w:tab w:val="left" w:pos="426"/>
        </w:tabs>
        <w:rPr>
          <w:rFonts w:ascii="Arial" w:hAnsi="Arial" w:cs="Arial"/>
          <w:sz w:val="24"/>
          <w:szCs w:val="24"/>
        </w:rPr>
      </w:pPr>
    </w:p>
    <w:p w:rsidR="00DA1650" w:rsidRDefault="007241EE" w:rsidP="00DA1650">
      <w:pPr>
        <w:tabs>
          <w:tab w:val="left" w:pos="426"/>
        </w:tabs>
        <w:rPr>
          <w:rFonts w:ascii="Arial" w:hAnsi="Arial" w:cs="Arial"/>
          <w:sz w:val="24"/>
          <w:szCs w:val="24"/>
        </w:rPr>
      </w:pPr>
      <w:r w:rsidRPr="009C3CAF">
        <w:rPr>
          <w:rFonts w:ascii="Arial" w:hAnsi="Arial" w:cs="Arial"/>
          <w:sz w:val="24"/>
          <w:szCs w:val="24"/>
        </w:rPr>
        <w:t xml:space="preserve">Housing delivery in South Ribble has, so far proved more challenging, due to the bulk of housing units expected to be delivered on a smaller number of large complex sites.  Plans are in place to accelerate some of those sites in partnership with the HCA. In </w:t>
      </w:r>
      <w:r>
        <w:rPr>
          <w:rFonts w:ascii="Arial" w:hAnsi="Arial" w:cs="Arial"/>
          <w:sz w:val="24"/>
          <w:szCs w:val="24"/>
        </w:rPr>
        <w:t>Y</w:t>
      </w:r>
      <w:r w:rsidRPr="009C3CAF">
        <w:rPr>
          <w:rFonts w:ascii="Arial" w:hAnsi="Arial" w:cs="Arial"/>
          <w:sz w:val="24"/>
          <w:szCs w:val="24"/>
        </w:rPr>
        <w:t>ear 3</w:t>
      </w:r>
      <w:r>
        <w:rPr>
          <w:rFonts w:ascii="Arial" w:hAnsi="Arial" w:cs="Arial"/>
          <w:sz w:val="24"/>
          <w:szCs w:val="24"/>
        </w:rPr>
        <w:t>,</w:t>
      </w:r>
      <w:r w:rsidRPr="009C3CAF">
        <w:rPr>
          <w:rFonts w:ascii="Arial" w:hAnsi="Arial" w:cs="Arial"/>
          <w:sz w:val="24"/>
          <w:szCs w:val="24"/>
        </w:rPr>
        <w:t xml:space="preserve"> completions in South Ribble totalled 189 which is below target.  Feedback from housebuilders across the City Deal footprint has identified   a number of likely contributing factors and these are described in more detail in the risk analysis.</w:t>
      </w:r>
    </w:p>
    <w:p w:rsidR="00DA1650" w:rsidRDefault="00DA1650" w:rsidP="00DA1650">
      <w:pPr>
        <w:tabs>
          <w:tab w:val="left" w:pos="426"/>
        </w:tabs>
        <w:rPr>
          <w:rFonts w:ascii="Arial" w:hAnsi="Arial" w:cs="Arial"/>
          <w:sz w:val="24"/>
          <w:szCs w:val="24"/>
        </w:rPr>
      </w:pPr>
    </w:p>
    <w:p w:rsidR="007241EE" w:rsidRPr="009C3CAF" w:rsidRDefault="007241EE" w:rsidP="00DA1650">
      <w:pPr>
        <w:tabs>
          <w:tab w:val="left" w:pos="426"/>
        </w:tabs>
        <w:rPr>
          <w:rFonts w:ascii="Arial" w:hAnsi="Arial" w:cs="Arial"/>
          <w:sz w:val="24"/>
          <w:szCs w:val="24"/>
        </w:rPr>
      </w:pPr>
      <w:r w:rsidRPr="009C3CAF">
        <w:rPr>
          <w:rFonts w:ascii="Arial" w:hAnsi="Arial" w:cs="Arial"/>
          <w:sz w:val="24"/>
          <w:szCs w:val="24"/>
        </w:rPr>
        <w:t xml:space="preserve">Overall cumulative performance has been positive, and 2016/17 has also been a particularly productive year overall. Private sector house building is, however, subject to market conditions and the next 12-24 months will be closely monitored to </w:t>
      </w:r>
      <w:r w:rsidRPr="009C3CAF">
        <w:rPr>
          <w:rFonts w:ascii="Arial" w:hAnsi="Arial" w:cs="Arial"/>
          <w:sz w:val="24"/>
          <w:szCs w:val="24"/>
        </w:rPr>
        <w:lastRenderedPageBreak/>
        <w:t xml:space="preserve">ensure that delivery forecasts reflect local conditions and development management support is effectively targeted to help maintain completion rates. </w:t>
      </w:r>
    </w:p>
    <w:p w:rsidR="00DA1650" w:rsidRDefault="00DA1650" w:rsidP="00DA1650">
      <w:pPr>
        <w:rPr>
          <w:rFonts w:ascii="Arial" w:hAnsi="Arial" w:cs="Arial"/>
          <w:sz w:val="24"/>
          <w:szCs w:val="24"/>
        </w:rPr>
      </w:pPr>
    </w:p>
    <w:p w:rsidR="007241EE" w:rsidRPr="009C3CAF" w:rsidRDefault="007241EE" w:rsidP="00DA1650">
      <w:pPr>
        <w:rPr>
          <w:rFonts w:ascii="Arial" w:hAnsi="Arial" w:cs="Arial"/>
          <w:sz w:val="24"/>
          <w:szCs w:val="24"/>
        </w:rPr>
      </w:pPr>
      <w:r w:rsidRPr="009C3CAF">
        <w:rPr>
          <w:rFonts w:ascii="Arial" w:hAnsi="Arial" w:cs="Arial"/>
          <w:sz w:val="24"/>
          <w:szCs w:val="24"/>
        </w:rPr>
        <w:t xml:space="preserve">From the planning perspective, a total of </w:t>
      </w:r>
      <w:r w:rsidRPr="009C3CAF">
        <w:rPr>
          <w:rFonts w:ascii="Arial" w:hAnsi="Arial" w:cs="Arial"/>
          <w:b/>
          <w:sz w:val="24"/>
          <w:szCs w:val="24"/>
        </w:rPr>
        <w:t>10</w:t>
      </w:r>
      <w:r>
        <w:rPr>
          <w:rFonts w:ascii="Arial" w:hAnsi="Arial" w:cs="Arial"/>
          <w:b/>
          <w:sz w:val="24"/>
          <w:szCs w:val="24"/>
        </w:rPr>
        <w:t>,</w:t>
      </w:r>
      <w:r w:rsidRPr="009C3CAF">
        <w:rPr>
          <w:rFonts w:ascii="Arial" w:hAnsi="Arial" w:cs="Arial"/>
          <w:b/>
          <w:sz w:val="24"/>
          <w:szCs w:val="24"/>
        </w:rPr>
        <w:t>174</w:t>
      </w:r>
      <w:r w:rsidRPr="009C3CAF">
        <w:rPr>
          <w:rFonts w:ascii="Arial" w:hAnsi="Arial" w:cs="Arial"/>
          <w:sz w:val="24"/>
          <w:szCs w:val="24"/>
        </w:rPr>
        <w:t xml:space="preserve"> housing units cumulatively have been submitted for planning up to year 3.  In year 3, the overall submissions totalled </w:t>
      </w:r>
      <w:r w:rsidRPr="009C3CAF">
        <w:rPr>
          <w:rFonts w:ascii="Arial" w:hAnsi="Arial" w:cs="Arial"/>
          <w:b/>
          <w:sz w:val="24"/>
          <w:szCs w:val="24"/>
        </w:rPr>
        <w:t>2</w:t>
      </w:r>
      <w:r>
        <w:rPr>
          <w:rFonts w:ascii="Arial" w:hAnsi="Arial" w:cs="Arial"/>
          <w:b/>
          <w:sz w:val="24"/>
          <w:szCs w:val="24"/>
        </w:rPr>
        <w:t>,</w:t>
      </w:r>
      <w:r w:rsidRPr="009C3CAF">
        <w:rPr>
          <w:rFonts w:ascii="Arial" w:hAnsi="Arial" w:cs="Arial"/>
          <w:b/>
          <w:sz w:val="24"/>
          <w:szCs w:val="24"/>
        </w:rPr>
        <w:t>329</w:t>
      </w:r>
      <w:r w:rsidRPr="009C3CAF">
        <w:rPr>
          <w:rFonts w:ascii="Arial" w:hAnsi="Arial" w:cs="Arial"/>
          <w:sz w:val="24"/>
          <w:szCs w:val="24"/>
        </w:rPr>
        <w:t xml:space="preserve"> exceeding the annual target of </w:t>
      </w:r>
      <w:r w:rsidRPr="009C3CAF">
        <w:rPr>
          <w:rFonts w:ascii="Arial" w:hAnsi="Arial" w:cs="Arial"/>
          <w:b/>
          <w:sz w:val="24"/>
          <w:szCs w:val="24"/>
        </w:rPr>
        <w:t>1</w:t>
      </w:r>
      <w:r>
        <w:rPr>
          <w:rFonts w:ascii="Arial" w:hAnsi="Arial" w:cs="Arial"/>
          <w:b/>
          <w:sz w:val="24"/>
          <w:szCs w:val="24"/>
        </w:rPr>
        <w:t>,</w:t>
      </w:r>
      <w:r w:rsidRPr="009C3CAF">
        <w:rPr>
          <w:rFonts w:ascii="Arial" w:hAnsi="Arial" w:cs="Arial"/>
          <w:b/>
          <w:sz w:val="24"/>
          <w:szCs w:val="24"/>
        </w:rPr>
        <w:t>679.</w:t>
      </w:r>
    </w:p>
    <w:p w:rsidR="00DA1650" w:rsidRDefault="00DA1650" w:rsidP="00DA1650">
      <w:pPr>
        <w:rPr>
          <w:rFonts w:ascii="Arial" w:hAnsi="Arial" w:cs="Arial"/>
          <w:sz w:val="24"/>
          <w:szCs w:val="24"/>
        </w:rPr>
      </w:pPr>
    </w:p>
    <w:p w:rsidR="007241EE" w:rsidRPr="009C3CAF" w:rsidRDefault="007241EE" w:rsidP="00DA1650">
      <w:pPr>
        <w:rPr>
          <w:rFonts w:ascii="Arial" w:hAnsi="Arial" w:cs="Arial"/>
          <w:sz w:val="24"/>
          <w:szCs w:val="24"/>
        </w:rPr>
      </w:pPr>
      <w:r w:rsidRPr="009C3CAF">
        <w:rPr>
          <w:rFonts w:ascii="Arial" w:hAnsi="Arial" w:cs="Arial"/>
          <w:sz w:val="24"/>
          <w:szCs w:val="24"/>
        </w:rPr>
        <w:t>The number is higher than predicted as the Preston market continues to be buoyant. This is leading, however, to increasing pressures on land that is not allocated in the development plan e.g. at Broughton and Barton.</w:t>
      </w:r>
    </w:p>
    <w:p w:rsidR="00DA1650" w:rsidRDefault="00DA1650" w:rsidP="00DA1650">
      <w:pPr>
        <w:rPr>
          <w:rFonts w:ascii="Arial" w:hAnsi="Arial" w:cs="Arial"/>
          <w:sz w:val="24"/>
          <w:szCs w:val="24"/>
        </w:rPr>
      </w:pPr>
    </w:p>
    <w:p w:rsidR="007241EE" w:rsidRDefault="007241EE" w:rsidP="00DA1650">
      <w:pPr>
        <w:rPr>
          <w:rFonts w:ascii="Arial" w:hAnsi="Arial" w:cs="Arial"/>
          <w:sz w:val="24"/>
          <w:szCs w:val="24"/>
        </w:rPr>
      </w:pPr>
      <w:r w:rsidRPr="009C3CAF">
        <w:rPr>
          <w:rFonts w:ascii="Arial" w:hAnsi="Arial" w:cs="Arial"/>
          <w:sz w:val="24"/>
          <w:szCs w:val="24"/>
        </w:rPr>
        <w:t xml:space="preserve">For similar reasons, planning consents are also higher than forecast with </w:t>
      </w:r>
      <w:r w:rsidRPr="009C3CAF">
        <w:rPr>
          <w:rFonts w:ascii="Arial" w:hAnsi="Arial" w:cs="Arial"/>
          <w:b/>
          <w:sz w:val="24"/>
          <w:szCs w:val="24"/>
        </w:rPr>
        <w:t>1</w:t>
      </w:r>
      <w:r>
        <w:rPr>
          <w:rFonts w:ascii="Arial" w:hAnsi="Arial" w:cs="Arial"/>
          <w:b/>
          <w:sz w:val="24"/>
          <w:szCs w:val="24"/>
        </w:rPr>
        <w:t>,</w:t>
      </w:r>
      <w:r w:rsidRPr="009C3CAF">
        <w:rPr>
          <w:rFonts w:ascii="Arial" w:hAnsi="Arial" w:cs="Arial"/>
          <w:b/>
          <w:sz w:val="24"/>
          <w:szCs w:val="24"/>
        </w:rPr>
        <w:t xml:space="preserve">760 </w:t>
      </w:r>
      <w:r w:rsidRPr="009C3CAF">
        <w:rPr>
          <w:rFonts w:ascii="Arial" w:hAnsi="Arial" w:cs="Arial"/>
          <w:sz w:val="24"/>
          <w:szCs w:val="24"/>
        </w:rPr>
        <w:t xml:space="preserve">consents against a target of </w:t>
      </w:r>
      <w:r w:rsidRPr="009C3CAF">
        <w:rPr>
          <w:rFonts w:ascii="Arial" w:hAnsi="Arial" w:cs="Arial"/>
          <w:b/>
          <w:sz w:val="24"/>
          <w:szCs w:val="24"/>
        </w:rPr>
        <w:t>1</w:t>
      </w:r>
      <w:r>
        <w:rPr>
          <w:rFonts w:ascii="Arial" w:hAnsi="Arial" w:cs="Arial"/>
          <w:b/>
          <w:sz w:val="24"/>
          <w:szCs w:val="24"/>
        </w:rPr>
        <w:t>,</w:t>
      </w:r>
      <w:r w:rsidRPr="009C3CAF">
        <w:rPr>
          <w:rFonts w:ascii="Arial" w:hAnsi="Arial" w:cs="Arial"/>
          <w:b/>
          <w:sz w:val="24"/>
          <w:szCs w:val="24"/>
        </w:rPr>
        <w:t>604</w:t>
      </w:r>
      <w:r w:rsidRPr="009C3CAF">
        <w:rPr>
          <w:rFonts w:ascii="Arial" w:hAnsi="Arial" w:cs="Arial"/>
          <w:sz w:val="24"/>
          <w:szCs w:val="24"/>
        </w:rPr>
        <w:t xml:space="preserve">.  This represents a significant number of consents in the year and the second highest number since the NPPF came into effect in 2012. </w:t>
      </w:r>
    </w:p>
    <w:p w:rsidR="00DA1650" w:rsidRDefault="00DA1650" w:rsidP="00DA1650">
      <w:pPr>
        <w:rPr>
          <w:rFonts w:ascii="Arial" w:hAnsi="Arial" w:cs="Arial"/>
          <w:sz w:val="24"/>
          <w:szCs w:val="24"/>
        </w:rPr>
      </w:pPr>
    </w:p>
    <w:p w:rsidR="007241EE" w:rsidRDefault="007241EE" w:rsidP="00DA1650">
      <w:pPr>
        <w:rPr>
          <w:rFonts w:ascii="Arial" w:hAnsi="Arial" w:cs="Arial"/>
          <w:sz w:val="24"/>
          <w:szCs w:val="24"/>
        </w:rPr>
      </w:pPr>
      <w:r>
        <w:rPr>
          <w:rFonts w:ascii="Arial" w:hAnsi="Arial" w:cs="Arial"/>
          <w:sz w:val="24"/>
          <w:szCs w:val="24"/>
        </w:rPr>
        <w:t>A breakdown of the housing targets and outputs is set out in table 1 below:</w:t>
      </w:r>
    </w:p>
    <w:p w:rsidR="00DA1650" w:rsidRDefault="00DA1650" w:rsidP="00DA1650">
      <w:pPr>
        <w:rPr>
          <w:rFonts w:ascii="Arial" w:hAnsi="Arial" w:cs="Arial"/>
          <w:b/>
          <w:sz w:val="24"/>
          <w:szCs w:val="24"/>
          <w:u w:val="single"/>
        </w:rPr>
      </w:pPr>
    </w:p>
    <w:p w:rsidR="007241EE" w:rsidRPr="00057387" w:rsidRDefault="007241EE" w:rsidP="00DA1650">
      <w:pPr>
        <w:rPr>
          <w:rFonts w:ascii="Arial" w:hAnsi="Arial" w:cs="Arial"/>
          <w:b/>
          <w:sz w:val="24"/>
          <w:szCs w:val="24"/>
          <w:u w:val="single"/>
        </w:rPr>
      </w:pPr>
      <w:r w:rsidRPr="00057387">
        <w:rPr>
          <w:rFonts w:ascii="Arial" w:hAnsi="Arial" w:cs="Arial"/>
          <w:b/>
          <w:sz w:val="24"/>
          <w:szCs w:val="24"/>
          <w:u w:val="single"/>
        </w:rPr>
        <w:t xml:space="preserve">Table 1 Housing – core and supporting outputs </w:t>
      </w:r>
    </w:p>
    <w:p w:rsidR="007241EE" w:rsidRPr="00295C1F" w:rsidRDefault="007241EE" w:rsidP="007241EE">
      <w:pPr>
        <w:ind w:left="284"/>
        <w:rPr>
          <w:rFonts w:ascii="Arial" w:hAnsi="Arial" w:cs="Arial"/>
          <w:b/>
          <w:sz w:val="16"/>
          <w:szCs w:val="16"/>
          <w:u w:val="single"/>
        </w:rPr>
      </w:pPr>
    </w:p>
    <w:tbl>
      <w:tblPr>
        <w:tblStyle w:val="TableGrid1"/>
        <w:tblW w:w="5000" w:type="pct"/>
        <w:tblLayout w:type="fixed"/>
        <w:tblLook w:val="04A0" w:firstRow="1" w:lastRow="0" w:firstColumn="1" w:lastColumn="0" w:noHBand="0" w:noVBand="1"/>
      </w:tblPr>
      <w:tblGrid>
        <w:gridCol w:w="1910"/>
        <w:gridCol w:w="1849"/>
        <w:gridCol w:w="1849"/>
        <w:gridCol w:w="1283"/>
        <w:gridCol w:w="2125"/>
      </w:tblGrid>
      <w:tr w:rsidR="007241EE" w:rsidRPr="005B03A5" w:rsidTr="008F32CB">
        <w:tc>
          <w:tcPr>
            <w:tcW w:w="1546" w:type="dxa"/>
          </w:tcPr>
          <w:p w:rsidR="007241EE" w:rsidRPr="005B03A5" w:rsidRDefault="007241EE" w:rsidP="008F32CB">
            <w:pPr>
              <w:rPr>
                <w:rFonts w:ascii="Arial" w:hAnsi="Arial" w:cs="Arial"/>
                <w:b/>
                <w:sz w:val="24"/>
                <w:szCs w:val="24"/>
              </w:rPr>
            </w:pPr>
            <w:r w:rsidRPr="005B03A5">
              <w:rPr>
                <w:rFonts w:ascii="Arial" w:hAnsi="Arial" w:cs="Arial"/>
                <w:b/>
                <w:sz w:val="24"/>
                <w:szCs w:val="24"/>
              </w:rPr>
              <w:t>Core and supporting outputs</w:t>
            </w:r>
          </w:p>
        </w:tc>
        <w:tc>
          <w:tcPr>
            <w:tcW w:w="1496" w:type="dxa"/>
          </w:tcPr>
          <w:p w:rsidR="007241EE" w:rsidRDefault="007241EE" w:rsidP="008F32CB">
            <w:pPr>
              <w:jc w:val="center"/>
              <w:rPr>
                <w:rFonts w:ascii="Arial" w:hAnsi="Arial" w:cs="Arial"/>
                <w:b/>
                <w:sz w:val="24"/>
                <w:szCs w:val="24"/>
              </w:rPr>
            </w:pPr>
            <w:r>
              <w:rPr>
                <w:rFonts w:ascii="Arial" w:hAnsi="Arial" w:cs="Arial"/>
                <w:b/>
                <w:sz w:val="24"/>
                <w:szCs w:val="24"/>
              </w:rPr>
              <w:t>City Deal Target</w:t>
            </w:r>
          </w:p>
          <w:p w:rsidR="007241EE" w:rsidRDefault="007241EE" w:rsidP="008F32CB">
            <w:pPr>
              <w:jc w:val="center"/>
              <w:rPr>
                <w:rFonts w:ascii="Arial" w:hAnsi="Arial" w:cs="Arial"/>
                <w:b/>
                <w:sz w:val="24"/>
                <w:szCs w:val="24"/>
              </w:rPr>
            </w:pPr>
            <w:r>
              <w:rPr>
                <w:rFonts w:ascii="Arial" w:hAnsi="Arial" w:cs="Arial"/>
                <w:b/>
                <w:sz w:val="24"/>
                <w:szCs w:val="24"/>
              </w:rPr>
              <w:t>16/17</w:t>
            </w:r>
          </w:p>
          <w:p w:rsidR="007241EE" w:rsidRPr="005B03A5" w:rsidRDefault="007241EE" w:rsidP="008F32CB">
            <w:pPr>
              <w:jc w:val="center"/>
              <w:rPr>
                <w:rFonts w:ascii="Arial" w:hAnsi="Arial" w:cs="Arial"/>
                <w:b/>
                <w:sz w:val="24"/>
                <w:szCs w:val="24"/>
              </w:rPr>
            </w:pPr>
          </w:p>
        </w:tc>
        <w:tc>
          <w:tcPr>
            <w:tcW w:w="1496" w:type="dxa"/>
          </w:tcPr>
          <w:p w:rsidR="007241EE" w:rsidRPr="005B03A5" w:rsidRDefault="007241EE" w:rsidP="008F32CB">
            <w:pPr>
              <w:jc w:val="center"/>
              <w:rPr>
                <w:rFonts w:ascii="Arial" w:hAnsi="Arial" w:cs="Arial"/>
                <w:b/>
                <w:sz w:val="24"/>
                <w:szCs w:val="24"/>
              </w:rPr>
            </w:pPr>
            <w:r w:rsidRPr="005B03A5">
              <w:rPr>
                <w:rFonts w:ascii="Arial" w:hAnsi="Arial" w:cs="Arial"/>
                <w:b/>
                <w:sz w:val="24"/>
                <w:szCs w:val="24"/>
              </w:rPr>
              <w:t xml:space="preserve">16/17 </w:t>
            </w:r>
          </w:p>
          <w:p w:rsidR="007241EE" w:rsidRDefault="007241EE" w:rsidP="008F32CB">
            <w:pPr>
              <w:jc w:val="center"/>
              <w:rPr>
                <w:rFonts w:ascii="Arial" w:hAnsi="Arial" w:cs="Arial"/>
                <w:b/>
                <w:sz w:val="24"/>
                <w:szCs w:val="24"/>
              </w:rPr>
            </w:pPr>
            <w:r w:rsidRPr="005B03A5">
              <w:rPr>
                <w:rFonts w:ascii="Arial" w:hAnsi="Arial" w:cs="Arial"/>
                <w:b/>
                <w:sz w:val="24"/>
                <w:szCs w:val="24"/>
              </w:rPr>
              <w:t>Trajectory</w:t>
            </w:r>
            <w:r>
              <w:rPr>
                <w:rFonts w:ascii="Arial" w:hAnsi="Arial" w:cs="Arial"/>
                <w:b/>
                <w:sz w:val="24"/>
                <w:szCs w:val="24"/>
              </w:rPr>
              <w:t xml:space="preserve"> </w:t>
            </w:r>
          </w:p>
          <w:p w:rsidR="007241EE" w:rsidRPr="005B03A5" w:rsidRDefault="007241EE" w:rsidP="008F32CB">
            <w:pPr>
              <w:jc w:val="center"/>
              <w:rPr>
                <w:rFonts w:ascii="Arial" w:hAnsi="Arial" w:cs="Arial"/>
                <w:b/>
                <w:sz w:val="24"/>
                <w:szCs w:val="24"/>
              </w:rPr>
            </w:pPr>
            <w:r>
              <w:rPr>
                <w:rFonts w:ascii="Arial" w:hAnsi="Arial" w:cs="Arial"/>
                <w:b/>
                <w:sz w:val="24"/>
                <w:szCs w:val="24"/>
              </w:rPr>
              <w:t>(</w:t>
            </w:r>
            <w:r w:rsidRPr="00EE7989">
              <w:rPr>
                <w:rFonts w:ascii="Arial" w:hAnsi="Arial" w:cs="Arial"/>
                <w:b/>
                <w:sz w:val="20"/>
                <w:szCs w:val="20"/>
              </w:rPr>
              <w:t>KM revised</w:t>
            </w:r>
            <w:r>
              <w:rPr>
                <w:rFonts w:ascii="Arial" w:hAnsi="Arial" w:cs="Arial"/>
                <w:b/>
                <w:sz w:val="20"/>
                <w:szCs w:val="20"/>
              </w:rPr>
              <w:t>)</w:t>
            </w:r>
          </w:p>
        </w:tc>
        <w:tc>
          <w:tcPr>
            <w:tcW w:w="1038" w:type="dxa"/>
          </w:tcPr>
          <w:p w:rsidR="007241EE" w:rsidRDefault="007241EE" w:rsidP="008F32CB">
            <w:pPr>
              <w:jc w:val="center"/>
              <w:rPr>
                <w:rFonts w:ascii="Arial" w:hAnsi="Arial" w:cs="Arial"/>
                <w:b/>
                <w:sz w:val="24"/>
                <w:szCs w:val="24"/>
              </w:rPr>
            </w:pPr>
            <w:r w:rsidRPr="005B03A5">
              <w:rPr>
                <w:rFonts w:ascii="Arial" w:hAnsi="Arial" w:cs="Arial"/>
                <w:b/>
                <w:sz w:val="24"/>
                <w:szCs w:val="24"/>
              </w:rPr>
              <w:t>16/17 Actual</w:t>
            </w:r>
          </w:p>
          <w:p w:rsidR="007241EE" w:rsidRPr="005B03A5" w:rsidRDefault="007241EE" w:rsidP="008F32CB">
            <w:pPr>
              <w:jc w:val="center"/>
              <w:rPr>
                <w:rFonts w:ascii="Arial" w:hAnsi="Arial" w:cs="Arial"/>
                <w:b/>
                <w:sz w:val="24"/>
                <w:szCs w:val="24"/>
              </w:rPr>
            </w:pPr>
            <w:r w:rsidRPr="00EE7989">
              <w:rPr>
                <w:rFonts w:ascii="Arial" w:hAnsi="Arial" w:cs="Arial"/>
                <w:b/>
                <w:sz w:val="20"/>
                <w:szCs w:val="20"/>
              </w:rPr>
              <w:t>(year 3)</w:t>
            </w:r>
          </w:p>
        </w:tc>
        <w:tc>
          <w:tcPr>
            <w:tcW w:w="1720" w:type="dxa"/>
          </w:tcPr>
          <w:p w:rsidR="007241EE" w:rsidRDefault="007241EE" w:rsidP="008F32CB">
            <w:pPr>
              <w:jc w:val="center"/>
              <w:rPr>
                <w:rFonts w:ascii="Arial" w:hAnsi="Arial" w:cs="Arial"/>
                <w:b/>
                <w:sz w:val="24"/>
                <w:szCs w:val="24"/>
              </w:rPr>
            </w:pPr>
            <w:r w:rsidRPr="005B03A5">
              <w:rPr>
                <w:rFonts w:ascii="Arial" w:hAnsi="Arial" w:cs="Arial"/>
                <w:b/>
                <w:sz w:val="24"/>
                <w:szCs w:val="24"/>
              </w:rPr>
              <w:t xml:space="preserve">  All Years Cumulative Variance</w:t>
            </w:r>
            <w:r>
              <w:rPr>
                <w:rFonts w:ascii="Arial" w:hAnsi="Arial" w:cs="Arial"/>
                <w:b/>
                <w:sz w:val="24"/>
                <w:szCs w:val="24"/>
              </w:rPr>
              <w:t xml:space="preserve"> </w:t>
            </w:r>
          </w:p>
          <w:p w:rsidR="007241EE" w:rsidRPr="005B03A5" w:rsidRDefault="007241EE" w:rsidP="008F32CB">
            <w:pPr>
              <w:jc w:val="center"/>
              <w:rPr>
                <w:rFonts w:ascii="Arial" w:hAnsi="Arial" w:cs="Arial"/>
                <w:b/>
                <w:sz w:val="24"/>
                <w:szCs w:val="24"/>
              </w:rPr>
            </w:pPr>
            <w:r w:rsidRPr="005B03A5">
              <w:rPr>
                <w:rFonts w:ascii="Arial" w:hAnsi="Arial" w:cs="Arial"/>
                <w:b/>
                <w:sz w:val="24"/>
                <w:szCs w:val="24"/>
              </w:rPr>
              <w:t xml:space="preserve"> </w:t>
            </w:r>
          </w:p>
        </w:tc>
      </w:tr>
      <w:tr w:rsidR="007241EE" w:rsidRPr="005B03A5" w:rsidTr="008F32CB">
        <w:tc>
          <w:tcPr>
            <w:tcW w:w="1546" w:type="dxa"/>
          </w:tcPr>
          <w:p w:rsidR="007241EE" w:rsidRPr="005B03A5" w:rsidRDefault="007241EE" w:rsidP="008F32CB">
            <w:pPr>
              <w:rPr>
                <w:rFonts w:ascii="Arial" w:hAnsi="Arial" w:cs="Arial"/>
                <w:sz w:val="24"/>
                <w:szCs w:val="24"/>
              </w:rPr>
            </w:pPr>
            <w:r w:rsidRPr="005B03A5">
              <w:rPr>
                <w:rFonts w:ascii="Arial" w:hAnsi="Arial" w:cs="Arial"/>
                <w:sz w:val="24"/>
                <w:szCs w:val="24"/>
              </w:rPr>
              <w:t xml:space="preserve">Total number of Housing units completed </w:t>
            </w:r>
          </w:p>
          <w:p w:rsidR="007241EE" w:rsidRPr="005B03A5" w:rsidRDefault="007241EE" w:rsidP="008F32CB">
            <w:pPr>
              <w:rPr>
                <w:rFonts w:ascii="Arial" w:hAnsi="Arial" w:cs="Arial"/>
                <w:sz w:val="24"/>
                <w:szCs w:val="24"/>
              </w:rPr>
            </w:pPr>
          </w:p>
        </w:tc>
        <w:tc>
          <w:tcPr>
            <w:tcW w:w="1496" w:type="dxa"/>
          </w:tcPr>
          <w:p w:rsidR="007241EE" w:rsidRPr="001A0A8D" w:rsidRDefault="007241EE" w:rsidP="008F32CB">
            <w:pPr>
              <w:tabs>
                <w:tab w:val="left" w:pos="885"/>
              </w:tabs>
              <w:jc w:val="center"/>
              <w:rPr>
                <w:rFonts w:ascii="Arial" w:hAnsi="Arial" w:cs="Arial"/>
                <w:sz w:val="24"/>
                <w:szCs w:val="24"/>
              </w:rPr>
            </w:pPr>
            <w:r>
              <w:rPr>
                <w:rFonts w:ascii="Arial" w:hAnsi="Arial" w:cs="Arial"/>
                <w:sz w:val="24"/>
                <w:szCs w:val="24"/>
              </w:rPr>
              <w:t>1391</w:t>
            </w:r>
          </w:p>
        </w:tc>
        <w:tc>
          <w:tcPr>
            <w:tcW w:w="1496" w:type="dxa"/>
          </w:tcPr>
          <w:p w:rsidR="007241EE" w:rsidRPr="001A0A8D" w:rsidRDefault="007241EE" w:rsidP="008F32CB">
            <w:pPr>
              <w:tabs>
                <w:tab w:val="left" w:pos="885"/>
              </w:tabs>
              <w:jc w:val="center"/>
              <w:rPr>
                <w:rFonts w:ascii="Arial" w:hAnsi="Arial" w:cs="Arial"/>
                <w:sz w:val="24"/>
                <w:szCs w:val="24"/>
              </w:rPr>
            </w:pPr>
            <w:r>
              <w:rPr>
                <w:rFonts w:ascii="Arial" w:hAnsi="Arial" w:cs="Arial"/>
                <w:sz w:val="24"/>
                <w:szCs w:val="24"/>
              </w:rPr>
              <w:t>840</w:t>
            </w:r>
          </w:p>
        </w:tc>
        <w:tc>
          <w:tcPr>
            <w:tcW w:w="1038" w:type="dxa"/>
          </w:tcPr>
          <w:p w:rsidR="007241EE" w:rsidRDefault="007241EE" w:rsidP="008F32CB">
            <w:pPr>
              <w:tabs>
                <w:tab w:val="left" w:pos="885"/>
              </w:tabs>
              <w:jc w:val="center"/>
              <w:rPr>
                <w:rFonts w:ascii="Arial" w:hAnsi="Arial" w:cs="Arial"/>
                <w:sz w:val="24"/>
                <w:szCs w:val="24"/>
              </w:rPr>
            </w:pPr>
            <w:r>
              <w:rPr>
                <w:rFonts w:ascii="Arial" w:hAnsi="Arial" w:cs="Arial"/>
                <w:sz w:val="24"/>
                <w:szCs w:val="24"/>
              </w:rPr>
              <w:t>1015</w:t>
            </w:r>
          </w:p>
          <w:p w:rsidR="007241EE" w:rsidRDefault="007241EE" w:rsidP="008F32CB">
            <w:pPr>
              <w:tabs>
                <w:tab w:val="left" w:pos="885"/>
              </w:tabs>
              <w:jc w:val="center"/>
              <w:rPr>
                <w:rFonts w:ascii="Arial" w:hAnsi="Arial" w:cs="Arial"/>
                <w:sz w:val="24"/>
                <w:szCs w:val="24"/>
              </w:rPr>
            </w:pPr>
          </w:p>
          <w:p w:rsidR="007241EE" w:rsidRPr="001A0A8D" w:rsidRDefault="007241EE" w:rsidP="008F32CB">
            <w:pPr>
              <w:tabs>
                <w:tab w:val="left" w:pos="885"/>
              </w:tabs>
              <w:rPr>
                <w:rFonts w:ascii="Arial" w:hAnsi="Arial" w:cs="Arial"/>
                <w:sz w:val="24"/>
                <w:szCs w:val="24"/>
              </w:rPr>
            </w:pPr>
          </w:p>
        </w:tc>
        <w:tc>
          <w:tcPr>
            <w:tcW w:w="1720" w:type="dxa"/>
          </w:tcPr>
          <w:p w:rsidR="007241EE" w:rsidRPr="001A0A8D" w:rsidRDefault="007241EE" w:rsidP="008F32CB">
            <w:pPr>
              <w:tabs>
                <w:tab w:val="left" w:pos="885"/>
              </w:tabs>
              <w:jc w:val="center"/>
              <w:rPr>
                <w:rFonts w:ascii="Arial" w:hAnsi="Arial" w:cs="Arial"/>
                <w:sz w:val="24"/>
                <w:szCs w:val="24"/>
              </w:rPr>
            </w:pPr>
            <w:r>
              <w:rPr>
                <w:rFonts w:ascii="Arial" w:hAnsi="Arial" w:cs="Arial"/>
                <w:sz w:val="24"/>
                <w:szCs w:val="24"/>
              </w:rPr>
              <w:t>+175</w:t>
            </w:r>
          </w:p>
        </w:tc>
      </w:tr>
      <w:tr w:rsidR="007241EE" w:rsidRPr="005B03A5" w:rsidTr="008F32CB">
        <w:tc>
          <w:tcPr>
            <w:tcW w:w="1546" w:type="dxa"/>
          </w:tcPr>
          <w:p w:rsidR="007241EE" w:rsidRPr="005B03A5" w:rsidRDefault="007241EE" w:rsidP="008F32CB">
            <w:pPr>
              <w:rPr>
                <w:rFonts w:ascii="Arial" w:hAnsi="Arial" w:cs="Arial"/>
                <w:sz w:val="24"/>
                <w:szCs w:val="24"/>
              </w:rPr>
            </w:pPr>
            <w:r w:rsidRPr="005B03A5">
              <w:rPr>
                <w:rFonts w:ascii="Arial" w:hAnsi="Arial" w:cs="Arial"/>
                <w:sz w:val="24"/>
                <w:szCs w:val="24"/>
              </w:rPr>
              <w:t xml:space="preserve">Total number of housing units submitted for planning </w:t>
            </w:r>
          </w:p>
        </w:tc>
        <w:tc>
          <w:tcPr>
            <w:tcW w:w="1496" w:type="dxa"/>
          </w:tcPr>
          <w:p w:rsidR="007241EE" w:rsidRPr="001A0A8D" w:rsidRDefault="007241EE" w:rsidP="008F32CB">
            <w:pPr>
              <w:tabs>
                <w:tab w:val="left" w:pos="885"/>
              </w:tabs>
              <w:jc w:val="center"/>
              <w:rPr>
                <w:rFonts w:ascii="Arial" w:hAnsi="Arial" w:cs="Arial"/>
                <w:sz w:val="24"/>
                <w:szCs w:val="24"/>
              </w:rPr>
            </w:pPr>
            <w:r>
              <w:rPr>
                <w:rFonts w:ascii="Arial" w:hAnsi="Arial" w:cs="Arial"/>
                <w:sz w:val="24"/>
                <w:szCs w:val="24"/>
              </w:rPr>
              <w:t xml:space="preserve"> -</w:t>
            </w:r>
          </w:p>
        </w:tc>
        <w:tc>
          <w:tcPr>
            <w:tcW w:w="1496" w:type="dxa"/>
          </w:tcPr>
          <w:p w:rsidR="007241EE" w:rsidRDefault="007241EE" w:rsidP="008F32CB">
            <w:pPr>
              <w:tabs>
                <w:tab w:val="left" w:pos="885"/>
              </w:tabs>
              <w:jc w:val="center"/>
              <w:rPr>
                <w:rFonts w:ascii="Arial" w:hAnsi="Arial" w:cs="Arial"/>
                <w:sz w:val="24"/>
                <w:szCs w:val="24"/>
              </w:rPr>
            </w:pPr>
            <w:r>
              <w:rPr>
                <w:rFonts w:ascii="Arial" w:hAnsi="Arial" w:cs="Arial"/>
                <w:sz w:val="24"/>
                <w:szCs w:val="24"/>
              </w:rPr>
              <w:t>1679</w:t>
            </w:r>
          </w:p>
          <w:p w:rsidR="007241EE" w:rsidRDefault="007241EE" w:rsidP="008F32CB">
            <w:pPr>
              <w:tabs>
                <w:tab w:val="left" w:pos="885"/>
              </w:tabs>
              <w:jc w:val="center"/>
              <w:rPr>
                <w:rFonts w:ascii="Arial" w:hAnsi="Arial" w:cs="Arial"/>
                <w:sz w:val="24"/>
                <w:szCs w:val="24"/>
              </w:rPr>
            </w:pPr>
          </w:p>
          <w:p w:rsidR="007241EE" w:rsidRPr="004A5582" w:rsidRDefault="007241EE" w:rsidP="008F32CB">
            <w:pPr>
              <w:tabs>
                <w:tab w:val="left" w:pos="885"/>
              </w:tabs>
              <w:jc w:val="center"/>
              <w:rPr>
                <w:rFonts w:ascii="Arial" w:hAnsi="Arial" w:cs="Arial"/>
                <w:sz w:val="18"/>
                <w:szCs w:val="18"/>
              </w:rPr>
            </w:pPr>
            <w:r w:rsidRPr="004A5582">
              <w:rPr>
                <w:rFonts w:ascii="Arial" w:hAnsi="Arial" w:cs="Arial"/>
                <w:sz w:val="18"/>
                <w:szCs w:val="18"/>
              </w:rPr>
              <w:t>(target based on milestones</w:t>
            </w:r>
            <w:r>
              <w:rPr>
                <w:rFonts w:ascii="Arial" w:hAnsi="Arial" w:cs="Arial"/>
                <w:sz w:val="18"/>
                <w:szCs w:val="18"/>
              </w:rPr>
              <w:t xml:space="preserve"> </w:t>
            </w:r>
            <w:r w:rsidRPr="004A5582">
              <w:rPr>
                <w:rFonts w:ascii="Arial" w:hAnsi="Arial" w:cs="Arial"/>
                <w:sz w:val="18"/>
                <w:szCs w:val="18"/>
              </w:rPr>
              <w:t>)</w:t>
            </w:r>
          </w:p>
        </w:tc>
        <w:tc>
          <w:tcPr>
            <w:tcW w:w="1038" w:type="dxa"/>
          </w:tcPr>
          <w:p w:rsidR="007241EE" w:rsidRPr="001A0A8D" w:rsidRDefault="007241EE" w:rsidP="008F32CB">
            <w:pPr>
              <w:tabs>
                <w:tab w:val="left" w:pos="885"/>
              </w:tabs>
              <w:jc w:val="center"/>
              <w:rPr>
                <w:rFonts w:ascii="Arial" w:hAnsi="Arial" w:cs="Arial"/>
                <w:sz w:val="24"/>
                <w:szCs w:val="24"/>
              </w:rPr>
            </w:pPr>
            <w:r>
              <w:rPr>
                <w:rFonts w:ascii="Arial" w:hAnsi="Arial" w:cs="Arial"/>
                <w:sz w:val="24"/>
                <w:szCs w:val="24"/>
              </w:rPr>
              <w:t>2329</w:t>
            </w:r>
          </w:p>
        </w:tc>
        <w:tc>
          <w:tcPr>
            <w:tcW w:w="1720" w:type="dxa"/>
          </w:tcPr>
          <w:p w:rsidR="007241EE" w:rsidRPr="001A0A8D" w:rsidRDefault="007241EE" w:rsidP="008F32CB">
            <w:pPr>
              <w:tabs>
                <w:tab w:val="left" w:pos="885"/>
              </w:tabs>
              <w:jc w:val="center"/>
              <w:rPr>
                <w:rFonts w:ascii="Arial" w:hAnsi="Arial" w:cs="Arial"/>
                <w:sz w:val="24"/>
                <w:szCs w:val="24"/>
              </w:rPr>
            </w:pPr>
            <w:r>
              <w:rPr>
                <w:rFonts w:ascii="Arial" w:hAnsi="Arial" w:cs="Arial"/>
                <w:sz w:val="24"/>
                <w:szCs w:val="24"/>
              </w:rPr>
              <w:t>-1279</w:t>
            </w:r>
          </w:p>
        </w:tc>
      </w:tr>
      <w:tr w:rsidR="007241EE" w:rsidRPr="005B03A5" w:rsidTr="008F32CB">
        <w:tc>
          <w:tcPr>
            <w:tcW w:w="1546" w:type="dxa"/>
          </w:tcPr>
          <w:p w:rsidR="007241EE" w:rsidRPr="005B03A5" w:rsidRDefault="007241EE" w:rsidP="008F32CB">
            <w:pPr>
              <w:rPr>
                <w:rFonts w:ascii="Arial" w:hAnsi="Arial" w:cs="Arial"/>
                <w:sz w:val="24"/>
                <w:szCs w:val="24"/>
              </w:rPr>
            </w:pPr>
            <w:r w:rsidRPr="005B03A5">
              <w:rPr>
                <w:rFonts w:ascii="Arial" w:hAnsi="Arial" w:cs="Arial"/>
                <w:sz w:val="24"/>
                <w:szCs w:val="24"/>
              </w:rPr>
              <w:t>Total number of Housing units consented for planning *</w:t>
            </w:r>
          </w:p>
        </w:tc>
        <w:tc>
          <w:tcPr>
            <w:tcW w:w="1496" w:type="dxa"/>
          </w:tcPr>
          <w:p w:rsidR="007241EE" w:rsidRPr="001A0A8D" w:rsidRDefault="007241EE" w:rsidP="008F32CB">
            <w:pPr>
              <w:jc w:val="center"/>
              <w:rPr>
                <w:rFonts w:ascii="Arial" w:hAnsi="Arial" w:cs="Arial"/>
                <w:sz w:val="24"/>
                <w:szCs w:val="24"/>
              </w:rPr>
            </w:pPr>
            <w:r w:rsidRPr="001A0A8D">
              <w:rPr>
                <w:rFonts w:ascii="Arial" w:hAnsi="Arial" w:cs="Arial"/>
                <w:sz w:val="24"/>
                <w:szCs w:val="24"/>
              </w:rPr>
              <w:t>-</w:t>
            </w:r>
          </w:p>
        </w:tc>
        <w:tc>
          <w:tcPr>
            <w:tcW w:w="1496" w:type="dxa"/>
          </w:tcPr>
          <w:p w:rsidR="007241EE" w:rsidRDefault="007241EE" w:rsidP="008F32CB">
            <w:pPr>
              <w:jc w:val="center"/>
              <w:rPr>
                <w:rFonts w:ascii="Arial" w:hAnsi="Arial" w:cs="Arial"/>
                <w:sz w:val="24"/>
                <w:szCs w:val="24"/>
              </w:rPr>
            </w:pPr>
            <w:r>
              <w:rPr>
                <w:rFonts w:ascii="Arial" w:hAnsi="Arial" w:cs="Arial"/>
                <w:sz w:val="24"/>
                <w:szCs w:val="24"/>
              </w:rPr>
              <w:t>1604</w:t>
            </w:r>
          </w:p>
          <w:p w:rsidR="007241EE" w:rsidRDefault="007241EE" w:rsidP="008F32CB">
            <w:pPr>
              <w:jc w:val="center"/>
              <w:rPr>
                <w:rFonts w:ascii="Arial" w:hAnsi="Arial" w:cs="Arial"/>
                <w:sz w:val="24"/>
                <w:szCs w:val="24"/>
              </w:rPr>
            </w:pPr>
          </w:p>
          <w:p w:rsidR="007241EE" w:rsidRDefault="007241EE" w:rsidP="008F32CB">
            <w:pPr>
              <w:jc w:val="center"/>
              <w:rPr>
                <w:rFonts w:ascii="Arial" w:hAnsi="Arial" w:cs="Arial"/>
                <w:sz w:val="24"/>
                <w:szCs w:val="24"/>
              </w:rPr>
            </w:pPr>
          </w:p>
          <w:p w:rsidR="007241EE" w:rsidRPr="004A5582" w:rsidRDefault="007241EE" w:rsidP="008F32CB">
            <w:pPr>
              <w:jc w:val="center"/>
              <w:rPr>
                <w:rFonts w:ascii="Arial" w:hAnsi="Arial" w:cs="Arial"/>
                <w:sz w:val="18"/>
                <w:szCs w:val="18"/>
              </w:rPr>
            </w:pPr>
            <w:r w:rsidRPr="004A5582">
              <w:rPr>
                <w:rFonts w:ascii="Arial" w:hAnsi="Arial" w:cs="Arial"/>
                <w:sz w:val="18"/>
                <w:szCs w:val="18"/>
              </w:rPr>
              <w:t>(Target based on milestones)</w:t>
            </w:r>
          </w:p>
        </w:tc>
        <w:tc>
          <w:tcPr>
            <w:tcW w:w="1038" w:type="dxa"/>
          </w:tcPr>
          <w:p w:rsidR="007241EE" w:rsidRPr="001A0A8D" w:rsidRDefault="007241EE" w:rsidP="008F32CB">
            <w:pPr>
              <w:jc w:val="center"/>
              <w:rPr>
                <w:rFonts w:ascii="Arial" w:hAnsi="Arial" w:cs="Arial"/>
                <w:sz w:val="24"/>
                <w:szCs w:val="24"/>
              </w:rPr>
            </w:pPr>
            <w:r>
              <w:rPr>
                <w:rFonts w:ascii="Arial" w:hAnsi="Arial" w:cs="Arial"/>
                <w:sz w:val="24"/>
                <w:szCs w:val="24"/>
              </w:rPr>
              <w:t>1760*</w:t>
            </w:r>
          </w:p>
        </w:tc>
        <w:tc>
          <w:tcPr>
            <w:tcW w:w="1720" w:type="dxa"/>
          </w:tcPr>
          <w:p w:rsidR="007241EE" w:rsidRPr="001A0A8D" w:rsidRDefault="007241EE" w:rsidP="008F32CB">
            <w:pPr>
              <w:jc w:val="center"/>
              <w:rPr>
                <w:rFonts w:ascii="Arial" w:hAnsi="Arial" w:cs="Arial"/>
                <w:sz w:val="24"/>
                <w:szCs w:val="24"/>
              </w:rPr>
            </w:pPr>
            <w:r>
              <w:rPr>
                <w:rFonts w:ascii="Arial" w:hAnsi="Arial" w:cs="Arial"/>
                <w:sz w:val="24"/>
                <w:szCs w:val="24"/>
              </w:rPr>
              <w:t>-786</w:t>
            </w:r>
          </w:p>
        </w:tc>
      </w:tr>
      <w:tr w:rsidR="007241EE" w:rsidRPr="005B03A5" w:rsidTr="008F32CB">
        <w:tc>
          <w:tcPr>
            <w:tcW w:w="1546" w:type="dxa"/>
          </w:tcPr>
          <w:p w:rsidR="007241EE" w:rsidRPr="005B03A5" w:rsidRDefault="007241EE" w:rsidP="008F32CB">
            <w:pPr>
              <w:rPr>
                <w:rFonts w:ascii="Arial" w:hAnsi="Arial" w:cs="Arial"/>
                <w:sz w:val="24"/>
                <w:szCs w:val="24"/>
              </w:rPr>
            </w:pPr>
            <w:r w:rsidRPr="005B03A5">
              <w:rPr>
                <w:rFonts w:ascii="Arial" w:hAnsi="Arial" w:cs="Arial"/>
                <w:sz w:val="24"/>
                <w:szCs w:val="24"/>
              </w:rPr>
              <w:t>sites at which construction is actively taking place</w:t>
            </w:r>
          </w:p>
        </w:tc>
        <w:tc>
          <w:tcPr>
            <w:tcW w:w="1496" w:type="dxa"/>
          </w:tcPr>
          <w:p w:rsidR="007241EE" w:rsidRPr="001A0A8D" w:rsidRDefault="007241EE" w:rsidP="008F32CB">
            <w:pPr>
              <w:tabs>
                <w:tab w:val="left" w:pos="885"/>
              </w:tabs>
              <w:jc w:val="center"/>
              <w:rPr>
                <w:rFonts w:ascii="Arial" w:hAnsi="Arial" w:cs="Arial"/>
                <w:sz w:val="24"/>
                <w:szCs w:val="24"/>
              </w:rPr>
            </w:pPr>
            <w:r>
              <w:rPr>
                <w:rFonts w:ascii="Arial" w:hAnsi="Arial" w:cs="Arial"/>
                <w:sz w:val="24"/>
                <w:szCs w:val="24"/>
              </w:rPr>
              <w:t>-</w:t>
            </w:r>
          </w:p>
        </w:tc>
        <w:tc>
          <w:tcPr>
            <w:tcW w:w="1496" w:type="dxa"/>
          </w:tcPr>
          <w:p w:rsidR="007241EE" w:rsidRDefault="007241EE" w:rsidP="008F32CB">
            <w:pPr>
              <w:tabs>
                <w:tab w:val="left" w:pos="885"/>
              </w:tabs>
              <w:jc w:val="center"/>
              <w:rPr>
                <w:rFonts w:ascii="Arial" w:hAnsi="Arial" w:cs="Arial"/>
                <w:sz w:val="24"/>
                <w:szCs w:val="24"/>
              </w:rPr>
            </w:pPr>
            <w:r>
              <w:rPr>
                <w:rFonts w:ascii="Arial" w:hAnsi="Arial" w:cs="Arial"/>
                <w:sz w:val="24"/>
                <w:szCs w:val="24"/>
              </w:rPr>
              <w:t>17</w:t>
            </w:r>
          </w:p>
          <w:p w:rsidR="007241EE" w:rsidRDefault="007241EE" w:rsidP="008F32CB">
            <w:pPr>
              <w:tabs>
                <w:tab w:val="left" w:pos="885"/>
              </w:tabs>
              <w:jc w:val="center"/>
              <w:rPr>
                <w:rFonts w:ascii="Arial" w:hAnsi="Arial" w:cs="Arial"/>
                <w:sz w:val="24"/>
                <w:szCs w:val="24"/>
              </w:rPr>
            </w:pPr>
          </w:p>
          <w:p w:rsidR="007241EE" w:rsidRPr="001A0A8D" w:rsidRDefault="007241EE" w:rsidP="008F32CB">
            <w:pPr>
              <w:tabs>
                <w:tab w:val="left" w:pos="885"/>
              </w:tabs>
              <w:jc w:val="center"/>
              <w:rPr>
                <w:rFonts w:ascii="Arial" w:hAnsi="Arial" w:cs="Arial"/>
                <w:sz w:val="24"/>
                <w:szCs w:val="24"/>
              </w:rPr>
            </w:pPr>
          </w:p>
        </w:tc>
        <w:tc>
          <w:tcPr>
            <w:tcW w:w="1038" w:type="dxa"/>
          </w:tcPr>
          <w:p w:rsidR="007241EE" w:rsidRDefault="007241EE" w:rsidP="008F32CB">
            <w:pPr>
              <w:tabs>
                <w:tab w:val="left" w:pos="885"/>
              </w:tabs>
              <w:jc w:val="center"/>
              <w:rPr>
                <w:rFonts w:ascii="Arial" w:hAnsi="Arial" w:cs="Arial"/>
                <w:sz w:val="24"/>
                <w:szCs w:val="24"/>
              </w:rPr>
            </w:pPr>
            <w:r>
              <w:rPr>
                <w:rFonts w:ascii="Arial" w:hAnsi="Arial" w:cs="Arial"/>
                <w:sz w:val="24"/>
                <w:szCs w:val="24"/>
              </w:rPr>
              <w:t>25</w:t>
            </w:r>
          </w:p>
          <w:p w:rsidR="007241EE" w:rsidRDefault="007241EE" w:rsidP="008F32CB">
            <w:pPr>
              <w:tabs>
                <w:tab w:val="left" w:pos="885"/>
              </w:tabs>
              <w:jc w:val="center"/>
              <w:rPr>
                <w:rFonts w:ascii="Arial" w:hAnsi="Arial" w:cs="Arial"/>
                <w:sz w:val="24"/>
                <w:szCs w:val="24"/>
              </w:rPr>
            </w:pPr>
          </w:p>
          <w:p w:rsidR="007241EE" w:rsidRPr="001A0A8D" w:rsidRDefault="007241EE" w:rsidP="008F32CB">
            <w:pPr>
              <w:tabs>
                <w:tab w:val="left" w:pos="885"/>
              </w:tabs>
              <w:jc w:val="center"/>
              <w:rPr>
                <w:rFonts w:ascii="Arial" w:hAnsi="Arial" w:cs="Arial"/>
                <w:sz w:val="24"/>
                <w:szCs w:val="24"/>
              </w:rPr>
            </w:pPr>
          </w:p>
        </w:tc>
        <w:tc>
          <w:tcPr>
            <w:tcW w:w="1720" w:type="dxa"/>
          </w:tcPr>
          <w:p w:rsidR="007241EE" w:rsidRPr="001A0A8D" w:rsidRDefault="007241EE" w:rsidP="008F32CB">
            <w:pPr>
              <w:tabs>
                <w:tab w:val="left" w:pos="885"/>
              </w:tabs>
              <w:jc w:val="center"/>
              <w:rPr>
                <w:rFonts w:ascii="Arial" w:hAnsi="Arial" w:cs="Arial"/>
                <w:sz w:val="24"/>
                <w:szCs w:val="24"/>
              </w:rPr>
            </w:pPr>
            <w:r>
              <w:rPr>
                <w:rFonts w:ascii="Arial" w:hAnsi="Arial" w:cs="Arial"/>
                <w:sz w:val="24"/>
                <w:szCs w:val="24"/>
              </w:rPr>
              <w:t>-</w:t>
            </w:r>
          </w:p>
        </w:tc>
      </w:tr>
    </w:tbl>
    <w:p w:rsidR="007241EE" w:rsidRPr="00822D07" w:rsidRDefault="007241EE" w:rsidP="007241EE">
      <w:pPr>
        <w:ind w:left="360"/>
      </w:pPr>
      <w:r>
        <w:t>*</w:t>
      </w:r>
      <w:r>
        <w:tab/>
        <w:t>Includes Outline, Reserved Matters and Full Planning consent</w:t>
      </w:r>
      <w:r w:rsidRPr="00822D07">
        <w:t xml:space="preserve"> </w:t>
      </w:r>
    </w:p>
    <w:p w:rsidR="007241EE" w:rsidRDefault="007241EE" w:rsidP="007241EE">
      <w:pPr>
        <w:rPr>
          <w:rFonts w:ascii="Arial" w:hAnsi="Arial" w:cs="Arial"/>
          <w:sz w:val="24"/>
          <w:szCs w:val="24"/>
        </w:rPr>
      </w:pPr>
    </w:p>
    <w:p w:rsidR="00DA1650" w:rsidRDefault="00DA1650" w:rsidP="007241EE">
      <w:pPr>
        <w:rPr>
          <w:rFonts w:ascii="Arial" w:hAnsi="Arial" w:cs="Arial"/>
          <w:sz w:val="24"/>
          <w:szCs w:val="24"/>
        </w:rPr>
      </w:pPr>
    </w:p>
    <w:p w:rsidR="00DA1650" w:rsidRDefault="00DA1650" w:rsidP="007241EE">
      <w:pPr>
        <w:rPr>
          <w:rFonts w:ascii="Arial" w:hAnsi="Arial" w:cs="Arial"/>
          <w:sz w:val="24"/>
          <w:szCs w:val="24"/>
        </w:rPr>
      </w:pPr>
    </w:p>
    <w:p w:rsidR="00DA1650" w:rsidRDefault="00DA1650" w:rsidP="007241EE">
      <w:pPr>
        <w:rPr>
          <w:rFonts w:ascii="Arial" w:hAnsi="Arial" w:cs="Arial"/>
          <w:sz w:val="24"/>
          <w:szCs w:val="24"/>
        </w:rPr>
      </w:pPr>
    </w:p>
    <w:p w:rsidR="00DA1650" w:rsidRDefault="00DA1650" w:rsidP="007241EE">
      <w:pPr>
        <w:rPr>
          <w:rFonts w:ascii="Arial" w:hAnsi="Arial" w:cs="Arial"/>
          <w:sz w:val="24"/>
          <w:szCs w:val="24"/>
        </w:rPr>
      </w:pPr>
    </w:p>
    <w:p w:rsidR="00DA1650" w:rsidRDefault="00DA1650" w:rsidP="007241EE">
      <w:pPr>
        <w:rPr>
          <w:rFonts w:ascii="Arial" w:hAnsi="Arial" w:cs="Arial"/>
          <w:sz w:val="24"/>
          <w:szCs w:val="24"/>
        </w:rPr>
      </w:pPr>
    </w:p>
    <w:p w:rsidR="00DA1650" w:rsidRDefault="00DA1650" w:rsidP="007241EE">
      <w:pPr>
        <w:rPr>
          <w:rFonts w:ascii="Arial" w:hAnsi="Arial" w:cs="Arial"/>
          <w:sz w:val="24"/>
          <w:szCs w:val="24"/>
        </w:rPr>
      </w:pPr>
    </w:p>
    <w:p w:rsidR="007241EE" w:rsidRDefault="007241EE" w:rsidP="007241EE">
      <w:pPr>
        <w:rPr>
          <w:rFonts w:ascii="Arial" w:hAnsi="Arial" w:cs="Arial"/>
          <w:sz w:val="24"/>
          <w:szCs w:val="24"/>
        </w:rPr>
      </w:pPr>
      <w:r w:rsidRPr="009C3CAF">
        <w:rPr>
          <w:rFonts w:ascii="Arial" w:hAnsi="Arial" w:cs="Arial"/>
          <w:sz w:val="24"/>
          <w:szCs w:val="24"/>
        </w:rPr>
        <w:t>Focussing upon the key HCA sites, progress has been made against the following key milestones in 2016/17:</w:t>
      </w:r>
    </w:p>
    <w:p w:rsidR="00DA1650" w:rsidRPr="007D1677" w:rsidRDefault="00DA1650" w:rsidP="007241EE">
      <w:pPr>
        <w:rPr>
          <w:rFonts w:ascii="Arial" w:hAnsi="Arial" w:cs="Arial"/>
          <w:sz w:val="24"/>
          <w:szCs w:val="24"/>
        </w:rPr>
      </w:pPr>
    </w:p>
    <w:p w:rsidR="007241EE" w:rsidRPr="00EC6009" w:rsidRDefault="007241EE" w:rsidP="007241EE">
      <w:pPr>
        <w:pStyle w:val="ListParagraph"/>
        <w:numPr>
          <w:ilvl w:val="2"/>
          <w:numId w:val="19"/>
        </w:numPr>
        <w:rPr>
          <w:rFonts w:ascii="Arial" w:eastAsia="Times New Roman" w:hAnsi="Arial" w:cs="Arial"/>
          <w:sz w:val="24"/>
          <w:szCs w:val="24"/>
        </w:rPr>
      </w:pPr>
      <w:r w:rsidRPr="00EC6009">
        <w:rPr>
          <w:rFonts w:ascii="Arial" w:hAnsi="Arial" w:cs="Arial"/>
          <w:bCs/>
          <w:sz w:val="24"/>
          <w:szCs w:val="24"/>
        </w:rPr>
        <w:t>Story Homes formally commenced on site at Eastway</w:t>
      </w:r>
    </w:p>
    <w:p w:rsidR="007241EE" w:rsidRPr="00EC6009" w:rsidRDefault="007241EE" w:rsidP="007241EE">
      <w:pPr>
        <w:pStyle w:val="ListParagraph"/>
        <w:numPr>
          <w:ilvl w:val="2"/>
          <w:numId w:val="19"/>
        </w:numPr>
        <w:spacing w:line="259" w:lineRule="auto"/>
        <w:rPr>
          <w:rFonts w:ascii="Arial" w:hAnsi="Arial" w:cs="Arial"/>
          <w:sz w:val="24"/>
          <w:szCs w:val="24"/>
        </w:rPr>
      </w:pPr>
      <w:r w:rsidRPr="00EC6009">
        <w:rPr>
          <w:rFonts w:ascii="Arial" w:hAnsi="Arial" w:cs="Arial"/>
          <w:bCs/>
          <w:sz w:val="24"/>
          <w:szCs w:val="24"/>
        </w:rPr>
        <w:t xml:space="preserve">Altcar Lane - the outline planning permission was approved at Planning Committee for 200 new homes, including 80 Starter Homes and a condition that the developer includes a range </w:t>
      </w:r>
      <w:r>
        <w:rPr>
          <w:rFonts w:ascii="Arial" w:hAnsi="Arial" w:cs="Arial"/>
          <w:bCs/>
          <w:sz w:val="24"/>
          <w:szCs w:val="24"/>
        </w:rPr>
        <w:t>of</w:t>
      </w:r>
      <w:r w:rsidRPr="00EC6009">
        <w:rPr>
          <w:rFonts w:ascii="Arial" w:hAnsi="Arial" w:cs="Arial"/>
          <w:bCs/>
          <w:sz w:val="24"/>
          <w:szCs w:val="24"/>
        </w:rPr>
        <w:t xml:space="preserve"> training opportunities throughout the construction of the site. Altcar Lane will be one </w:t>
      </w:r>
      <w:r>
        <w:rPr>
          <w:rFonts w:ascii="Arial" w:hAnsi="Arial" w:cs="Arial"/>
          <w:bCs/>
          <w:sz w:val="24"/>
          <w:szCs w:val="24"/>
        </w:rPr>
        <w:t xml:space="preserve">of </w:t>
      </w:r>
      <w:r w:rsidRPr="00EC6009">
        <w:rPr>
          <w:rFonts w:ascii="Arial" w:hAnsi="Arial" w:cs="Arial"/>
          <w:bCs/>
          <w:sz w:val="24"/>
          <w:szCs w:val="24"/>
        </w:rPr>
        <w:t>the first HCA sites to be delivered via Accelerated Construction</w:t>
      </w:r>
    </w:p>
    <w:p w:rsidR="007241EE" w:rsidRPr="00EC6009" w:rsidRDefault="007241EE" w:rsidP="007241EE">
      <w:pPr>
        <w:pStyle w:val="ListParagraph"/>
        <w:numPr>
          <w:ilvl w:val="2"/>
          <w:numId w:val="19"/>
        </w:numPr>
        <w:rPr>
          <w:rFonts w:ascii="Arial" w:eastAsia="Times New Roman" w:hAnsi="Arial" w:cs="Arial"/>
          <w:sz w:val="24"/>
          <w:szCs w:val="24"/>
        </w:rPr>
      </w:pPr>
      <w:r w:rsidRPr="00EC6009">
        <w:rPr>
          <w:rFonts w:ascii="Arial" w:hAnsi="Arial" w:cs="Arial"/>
          <w:bCs/>
          <w:sz w:val="24"/>
          <w:szCs w:val="24"/>
        </w:rPr>
        <w:t>The S106 was signed at Altcar Lane</w:t>
      </w:r>
    </w:p>
    <w:p w:rsidR="007241EE" w:rsidRPr="000A603C" w:rsidRDefault="007241EE" w:rsidP="007241EE">
      <w:pPr>
        <w:pStyle w:val="ListParagraph"/>
        <w:numPr>
          <w:ilvl w:val="2"/>
          <w:numId w:val="19"/>
        </w:numPr>
        <w:spacing w:line="259" w:lineRule="auto"/>
        <w:rPr>
          <w:rFonts w:ascii="Arial" w:hAnsi="Arial" w:cs="Arial"/>
          <w:sz w:val="24"/>
          <w:szCs w:val="24"/>
        </w:rPr>
      </w:pPr>
      <w:r w:rsidRPr="00EC6009">
        <w:rPr>
          <w:rFonts w:ascii="Arial" w:hAnsi="Arial" w:cs="Arial"/>
          <w:bCs/>
          <w:sz w:val="24"/>
          <w:szCs w:val="24"/>
        </w:rPr>
        <w:t>First housing completion at Croston Road South</w:t>
      </w:r>
    </w:p>
    <w:p w:rsidR="007241EE" w:rsidRPr="00593596" w:rsidRDefault="007241EE" w:rsidP="007241EE">
      <w:pPr>
        <w:pStyle w:val="ListParagraph"/>
        <w:numPr>
          <w:ilvl w:val="2"/>
          <w:numId w:val="19"/>
        </w:numPr>
        <w:spacing w:line="259" w:lineRule="auto"/>
        <w:rPr>
          <w:rFonts w:ascii="Arial" w:hAnsi="Arial" w:cs="Arial"/>
          <w:sz w:val="24"/>
          <w:szCs w:val="24"/>
        </w:rPr>
      </w:pPr>
      <w:r>
        <w:rPr>
          <w:rFonts w:ascii="Arial" w:hAnsi="Arial" w:cs="Arial"/>
          <w:bCs/>
          <w:sz w:val="24"/>
          <w:szCs w:val="24"/>
        </w:rPr>
        <w:t>The Brindle Road site has now completed.</w:t>
      </w:r>
    </w:p>
    <w:p w:rsidR="007241EE" w:rsidRDefault="007241EE" w:rsidP="007241EE">
      <w:pPr>
        <w:rPr>
          <w:rFonts w:ascii="Arial" w:hAnsi="Arial" w:cs="Arial"/>
          <w:sz w:val="24"/>
          <w:szCs w:val="24"/>
        </w:rPr>
      </w:pPr>
    </w:p>
    <w:p w:rsidR="007241EE" w:rsidRDefault="007241EE" w:rsidP="007241EE">
      <w:pPr>
        <w:rPr>
          <w:rFonts w:ascii="Arial" w:hAnsi="Arial" w:cs="Arial"/>
          <w:sz w:val="24"/>
          <w:szCs w:val="24"/>
        </w:rPr>
      </w:pPr>
      <w:r>
        <w:rPr>
          <w:rFonts w:ascii="Arial" w:hAnsi="Arial" w:cs="Arial"/>
          <w:sz w:val="24"/>
          <w:szCs w:val="24"/>
        </w:rPr>
        <w:t>A breakdown of HCA targets and outputs is outlined in table 2 below:</w:t>
      </w:r>
    </w:p>
    <w:p w:rsidR="007241EE" w:rsidRPr="00593596" w:rsidRDefault="007241EE" w:rsidP="007241EE">
      <w:pPr>
        <w:rPr>
          <w:rFonts w:ascii="Arial" w:hAnsi="Arial" w:cs="Arial"/>
          <w:sz w:val="24"/>
          <w:szCs w:val="24"/>
        </w:rPr>
      </w:pPr>
    </w:p>
    <w:p w:rsidR="007241EE" w:rsidRPr="003C3254" w:rsidRDefault="007241EE" w:rsidP="007241EE">
      <w:pPr>
        <w:rPr>
          <w:rFonts w:ascii="Arial" w:hAnsi="Arial" w:cs="Arial"/>
          <w:b/>
          <w:sz w:val="24"/>
          <w:szCs w:val="24"/>
          <w:u w:val="single"/>
        </w:rPr>
      </w:pPr>
      <w:r w:rsidRPr="003C3254">
        <w:rPr>
          <w:rFonts w:ascii="Arial" w:hAnsi="Arial" w:cs="Arial"/>
          <w:b/>
          <w:sz w:val="24"/>
          <w:szCs w:val="24"/>
          <w:u w:val="single"/>
        </w:rPr>
        <w:t xml:space="preserve">Table 2 – Supporting outputs for HCA sites: </w:t>
      </w:r>
    </w:p>
    <w:p w:rsidR="007241EE" w:rsidRDefault="007241EE" w:rsidP="007241EE">
      <w:pPr>
        <w:rPr>
          <w:rFonts w:ascii="Arial" w:hAnsi="Arial" w:cs="Arial"/>
          <w:b/>
          <w:sz w:val="24"/>
          <w:szCs w:val="24"/>
        </w:rPr>
      </w:pPr>
    </w:p>
    <w:tbl>
      <w:tblPr>
        <w:tblW w:w="5217" w:type="pct"/>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2"/>
        <w:gridCol w:w="1016"/>
        <w:gridCol w:w="1009"/>
        <w:gridCol w:w="1013"/>
        <w:gridCol w:w="961"/>
        <w:gridCol w:w="994"/>
        <w:gridCol w:w="995"/>
        <w:gridCol w:w="1561"/>
      </w:tblGrid>
      <w:tr w:rsidR="007241EE" w:rsidTr="008F32CB">
        <w:trPr>
          <w:trHeight w:val="1438"/>
        </w:trPr>
        <w:tc>
          <w:tcPr>
            <w:tcW w:w="1852" w:type="dxa"/>
          </w:tcPr>
          <w:p w:rsidR="007241EE" w:rsidRDefault="007241EE" w:rsidP="008F32CB">
            <w:pPr>
              <w:autoSpaceDE w:val="0"/>
              <w:autoSpaceDN w:val="0"/>
              <w:adjustRightInd w:val="0"/>
              <w:rPr>
                <w:rFonts w:ascii="Arial" w:hAnsi="Arial" w:cs="Arial"/>
                <w:b/>
                <w:bCs/>
                <w:color w:val="000000"/>
              </w:rPr>
            </w:pPr>
            <w:r>
              <w:rPr>
                <w:rFonts w:ascii="Arial" w:hAnsi="Arial" w:cs="Arial"/>
                <w:b/>
                <w:bCs/>
                <w:color w:val="000000"/>
              </w:rPr>
              <w:t xml:space="preserve">Supporting output </w:t>
            </w:r>
          </w:p>
        </w:tc>
        <w:tc>
          <w:tcPr>
            <w:tcW w:w="1016" w:type="dxa"/>
          </w:tcPr>
          <w:p w:rsidR="007241EE" w:rsidRDefault="007241EE" w:rsidP="008F32CB">
            <w:pPr>
              <w:autoSpaceDE w:val="0"/>
              <w:autoSpaceDN w:val="0"/>
              <w:adjustRightInd w:val="0"/>
              <w:jc w:val="center"/>
              <w:rPr>
                <w:rFonts w:ascii="Arial" w:hAnsi="Arial" w:cs="Arial"/>
                <w:b/>
                <w:bCs/>
                <w:color w:val="000000"/>
              </w:rPr>
            </w:pPr>
            <w:r>
              <w:rPr>
                <w:rFonts w:ascii="Arial" w:hAnsi="Arial" w:cs="Arial"/>
                <w:b/>
                <w:bCs/>
                <w:color w:val="000000"/>
              </w:rPr>
              <w:t>14/15</w:t>
            </w:r>
          </w:p>
        </w:tc>
        <w:tc>
          <w:tcPr>
            <w:tcW w:w="1009" w:type="dxa"/>
          </w:tcPr>
          <w:p w:rsidR="007241EE" w:rsidRDefault="007241EE" w:rsidP="008F32CB">
            <w:pPr>
              <w:autoSpaceDE w:val="0"/>
              <w:autoSpaceDN w:val="0"/>
              <w:adjustRightInd w:val="0"/>
              <w:jc w:val="center"/>
              <w:rPr>
                <w:rFonts w:ascii="Arial" w:hAnsi="Arial" w:cs="Arial"/>
                <w:b/>
                <w:bCs/>
                <w:color w:val="000000"/>
              </w:rPr>
            </w:pPr>
            <w:r>
              <w:rPr>
                <w:rFonts w:ascii="Arial" w:hAnsi="Arial" w:cs="Arial"/>
                <w:b/>
                <w:bCs/>
                <w:color w:val="000000"/>
              </w:rPr>
              <w:t>14/15</w:t>
            </w:r>
          </w:p>
        </w:tc>
        <w:tc>
          <w:tcPr>
            <w:tcW w:w="1013" w:type="dxa"/>
          </w:tcPr>
          <w:p w:rsidR="007241EE" w:rsidRDefault="007241EE" w:rsidP="008F32CB">
            <w:pPr>
              <w:autoSpaceDE w:val="0"/>
              <w:autoSpaceDN w:val="0"/>
              <w:adjustRightInd w:val="0"/>
              <w:jc w:val="center"/>
              <w:rPr>
                <w:rFonts w:ascii="Arial" w:hAnsi="Arial" w:cs="Arial"/>
                <w:b/>
                <w:bCs/>
                <w:color w:val="000000"/>
              </w:rPr>
            </w:pPr>
            <w:r>
              <w:rPr>
                <w:rFonts w:ascii="Arial" w:hAnsi="Arial" w:cs="Arial"/>
                <w:b/>
                <w:bCs/>
                <w:color w:val="000000"/>
              </w:rPr>
              <w:t>15/16</w:t>
            </w:r>
          </w:p>
        </w:tc>
        <w:tc>
          <w:tcPr>
            <w:tcW w:w="961" w:type="dxa"/>
          </w:tcPr>
          <w:p w:rsidR="007241EE" w:rsidRDefault="007241EE" w:rsidP="008F32CB">
            <w:pPr>
              <w:autoSpaceDE w:val="0"/>
              <w:autoSpaceDN w:val="0"/>
              <w:adjustRightInd w:val="0"/>
              <w:jc w:val="center"/>
              <w:rPr>
                <w:rFonts w:ascii="Arial" w:hAnsi="Arial" w:cs="Arial"/>
                <w:b/>
                <w:bCs/>
                <w:color w:val="000000"/>
              </w:rPr>
            </w:pPr>
            <w:r>
              <w:rPr>
                <w:rFonts w:ascii="Arial" w:hAnsi="Arial" w:cs="Arial"/>
                <w:b/>
                <w:bCs/>
                <w:color w:val="000000"/>
              </w:rPr>
              <w:t>15/16 Actual</w:t>
            </w:r>
          </w:p>
        </w:tc>
        <w:tc>
          <w:tcPr>
            <w:tcW w:w="994" w:type="dxa"/>
            <w:shd w:val="clear" w:color="auto" w:fill="auto"/>
          </w:tcPr>
          <w:p w:rsidR="007241EE" w:rsidRDefault="007241EE" w:rsidP="008F32CB">
            <w:pPr>
              <w:autoSpaceDE w:val="0"/>
              <w:autoSpaceDN w:val="0"/>
              <w:adjustRightInd w:val="0"/>
              <w:jc w:val="center"/>
              <w:rPr>
                <w:rFonts w:ascii="Arial" w:hAnsi="Arial" w:cs="Arial"/>
                <w:b/>
                <w:bCs/>
                <w:color w:val="000000"/>
              </w:rPr>
            </w:pPr>
            <w:r>
              <w:rPr>
                <w:rFonts w:ascii="Arial" w:hAnsi="Arial" w:cs="Arial"/>
                <w:b/>
                <w:bCs/>
                <w:color w:val="000000"/>
              </w:rPr>
              <w:t>16/17 Target</w:t>
            </w:r>
          </w:p>
        </w:tc>
        <w:tc>
          <w:tcPr>
            <w:tcW w:w="995" w:type="dxa"/>
            <w:shd w:val="clear" w:color="auto" w:fill="auto"/>
          </w:tcPr>
          <w:p w:rsidR="007241EE" w:rsidRDefault="007241EE" w:rsidP="008F32CB">
            <w:pPr>
              <w:autoSpaceDE w:val="0"/>
              <w:autoSpaceDN w:val="0"/>
              <w:adjustRightInd w:val="0"/>
              <w:jc w:val="center"/>
              <w:rPr>
                <w:rFonts w:ascii="Arial" w:hAnsi="Arial" w:cs="Arial"/>
                <w:b/>
                <w:bCs/>
                <w:color w:val="000000"/>
              </w:rPr>
            </w:pPr>
            <w:r>
              <w:rPr>
                <w:rFonts w:ascii="Arial" w:hAnsi="Arial" w:cs="Arial"/>
                <w:b/>
                <w:bCs/>
                <w:color w:val="000000"/>
              </w:rPr>
              <w:t>16/17 Actual</w:t>
            </w:r>
          </w:p>
        </w:tc>
        <w:tc>
          <w:tcPr>
            <w:tcW w:w="1561" w:type="dxa"/>
          </w:tcPr>
          <w:p w:rsidR="007241EE" w:rsidRDefault="007241EE" w:rsidP="008F32CB">
            <w:pPr>
              <w:autoSpaceDE w:val="0"/>
              <w:autoSpaceDN w:val="0"/>
              <w:adjustRightInd w:val="0"/>
              <w:jc w:val="center"/>
              <w:rPr>
                <w:rFonts w:ascii="Arial" w:hAnsi="Arial" w:cs="Arial"/>
                <w:b/>
                <w:bCs/>
                <w:color w:val="000000"/>
              </w:rPr>
            </w:pPr>
            <w:r>
              <w:rPr>
                <w:rFonts w:ascii="Arial" w:hAnsi="Arial" w:cs="Arial"/>
                <w:b/>
                <w:bCs/>
                <w:color w:val="000000"/>
              </w:rPr>
              <w:t>All Years Cumulative Variance</w:t>
            </w:r>
          </w:p>
        </w:tc>
      </w:tr>
      <w:tr w:rsidR="007241EE" w:rsidTr="008F32CB">
        <w:trPr>
          <w:trHeight w:val="305"/>
        </w:trPr>
        <w:tc>
          <w:tcPr>
            <w:tcW w:w="1852" w:type="dxa"/>
          </w:tcPr>
          <w:p w:rsidR="007241EE" w:rsidRDefault="007241EE" w:rsidP="008F32CB">
            <w:pPr>
              <w:autoSpaceDE w:val="0"/>
              <w:autoSpaceDN w:val="0"/>
              <w:adjustRightInd w:val="0"/>
              <w:jc w:val="right"/>
              <w:rPr>
                <w:rFonts w:ascii="Arial" w:hAnsi="Arial" w:cs="Arial"/>
                <w:b/>
                <w:bCs/>
                <w:color w:val="000000"/>
              </w:rPr>
            </w:pPr>
          </w:p>
        </w:tc>
        <w:tc>
          <w:tcPr>
            <w:tcW w:w="1016" w:type="dxa"/>
          </w:tcPr>
          <w:p w:rsidR="007241EE" w:rsidRDefault="007241EE" w:rsidP="008F32CB">
            <w:pPr>
              <w:autoSpaceDE w:val="0"/>
              <w:autoSpaceDN w:val="0"/>
              <w:adjustRightInd w:val="0"/>
              <w:jc w:val="center"/>
              <w:rPr>
                <w:rFonts w:ascii="Arial" w:hAnsi="Arial" w:cs="Arial"/>
                <w:b/>
                <w:bCs/>
                <w:color w:val="000000"/>
              </w:rPr>
            </w:pPr>
            <w:r>
              <w:rPr>
                <w:rFonts w:ascii="Arial" w:hAnsi="Arial" w:cs="Arial"/>
                <w:b/>
                <w:bCs/>
                <w:color w:val="000000"/>
              </w:rPr>
              <w:t>Target</w:t>
            </w:r>
          </w:p>
        </w:tc>
        <w:tc>
          <w:tcPr>
            <w:tcW w:w="1009" w:type="dxa"/>
          </w:tcPr>
          <w:p w:rsidR="007241EE" w:rsidRDefault="007241EE" w:rsidP="008F32CB">
            <w:pPr>
              <w:autoSpaceDE w:val="0"/>
              <w:autoSpaceDN w:val="0"/>
              <w:adjustRightInd w:val="0"/>
              <w:jc w:val="center"/>
              <w:rPr>
                <w:rFonts w:ascii="Arial" w:hAnsi="Arial" w:cs="Arial"/>
                <w:b/>
                <w:bCs/>
                <w:color w:val="000000"/>
              </w:rPr>
            </w:pPr>
            <w:r>
              <w:rPr>
                <w:rFonts w:ascii="Arial" w:hAnsi="Arial" w:cs="Arial"/>
                <w:b/>
                <w:bCs/>
                <w:color w:val="000000"/>
              </w:rPr>
              <w:t>Actual</w:t>
            </w:r>
          </w:p>
        </w:tc>
        <w:tc>
          <w:tcPr>
            <w:tcW w:w="1013" w:type="dxa"/>
          </w:tcPr>
          <w:p w:rsidR="007241EE" w:rsidRDefault="007241EE" w:rsidP="008F32CB">
            <w:pPr>
              <w:autoSpaceDE w:val="0"/>
              <w:autoSpaceDN w:val="0"/>
              <w:adjustRightInd w:val="0"/>
              <w:jc w:val="center"/>
              <w:rPr>
                <w:rFonts w:ascii="Arial" w:hAnsi="Arial" w:cs="Arial"/>
                <w:b/>
                <w:bCs/>
                <w:color w:val="000000"/>
              </w:rPr>
            </w:pPr>
            <w:r>
              <w:rPr>
                <w:rFonts w:ascii="Arial" w:hAnsi="Arial" w:cs="Arial"/>
                <w:b/>
                <w:bCs/>
                <w:color w:val="000000"/>
              </w:rPr>
              <w:t>Target</w:t>
            </w:r>
          </w:p>
        </w:tc>
        <w:tc>
          <w:tcPr>
            <w:tcW w:w="961" w:type="dxa"/>
          </w:tcPr>
          <w:p w:rsidR="007241EE" w:rsidRDefault="007241EE" w:rsidP="008F32CB">
            <w:pPr>
              <w:autoSpaceDE w:val="0"/>
              <w:autoSpaceDN w:val="0"/>
              <w:adjustRightInd w:val="0"/>
              <w:jc w:val="center"/>
              <w:rPr>
                <w:rFonts w:ascii="Arial" w:hAnsi="Arial" w:cs="Arial"/>
                <w:b/>
                <w:bCs/>
                <w:color w:val="000000"/>
              </w:rPr>
            </w:pPr>
          </w:p>
        </w:tc>
        <w:tc>
          <w:tcPr>
            <w:tcW w:w="994" w:type="dxa"/>
            <w:shd w:val="clear" w:color="auto" w:fill="auto"/>
          </w:tcPr>
          <w:p w:rsidR="007241EE" w:rsidRDefault="007241EE" w:rsidP="008F32CB">
            <w:pPr>
              <w:autoSpaceDE w:val="0"/>
              <w:autoSpaceDN w:val="0"/>
              <w:adjustRightInd w:val="0"/>
              <w:jc w:val="center"/>
              <w:rPr>
                <w:rFonts w:ascii="Arial" w:hAnsi="Arial" w:cs="Arial"/>
                <w:b/>
                <w:bCs/>
                <w:color w:val="000000"/>
              </w:rPr>
            </w:pPr>
          </w:p>
        </w:tc>
        <w:tc>
          <w:tcPr>
            <w:tcW w:w="995" w:type="dxa"/>
            <w:shd w:val="clear" w:color="auto" w:fill="auto"/>
          </w:tcPr>
          <w:p w:rsidR="007241EE" w:rsidRDefault="007241EE" w:rsidP="008F32CB">
            <w:pPr>
              <w:autoSpaceDE w:val="0"/>
              <w:autoSpaceDN w:val="0"/>
              <w:adjustRightInd w:val="0"/>
              <w:jc w:val="center"/>
              <w:rPr>
                <w:rFonts w:ascii="Arial" w:hAnsi="Arial" w:cs="Arial"/>
                <w:b/>
                <w:bCs/>
                <w:color w:val="000000"/>
              </w:rPr>
            </w:pPr>
          </w:p>
        </w:tc>
        <w:tc>
          <w:tcPr>
            <w:tcW w:w="1561" w:type="dxa"/>
          </w:tcPr>
          <w:p w:rsidR="007241EE" w:rsidRDefault="007241EE" w:rsidP="008F32CB">
            <w:pPr>
              <w:autoSpaceDE w:val="0"/>
              <w:autoSpaceDN w:val="0"/>
              <w:adjustRightInd w:val="0"/>
              <w:jc w:val="center"/>
              <w:rPr>
                <w:rFonts w:ascii="Arial" w:hAnsi="Arial" w:cs="Arial"/>
                <w:b/>
                <w:bCs/>
                <w:color w:val="000000"/>
              </w:rPr>
            </w:pPr>
          </w:p>
        </w:tc>
      </w:tr>
      <w:tr w:rsidR="007241EE" w:rsidTr="008F32CB">
        <w:trPr>
          <w:trHeight w:val="566"/>
        </w:trPr>
        <w:tc>
          <w:tcPr>
            <w:tcW w:w="1852" w:type="dxa"/>
          </w:tcPr>
          <w:p w:rsidR="007241EE" w:rsidRDefault="007241EE" w:rsidP="008F32CB">
            <w:pPr>
              <w:autoSpaceDE w:val="0"/>
              <w:autoSpaceDN w:val="0"/>
              <w:adjustRightInd w:val="0"/>
              <w:rPr>
                <w:rFonts w:ascii="Arial" w:hAnsi="Arial" w:cs="Arial"/>
                <w:color w:val="000000"/>
              </w:rPr>
            </w:pPr>
            <w:r>
              <w:rPr>
                <w:rFonts w:ascii="Arial" w:hAnsi="Arial" w:cs="Arial"/>
                <w:color w:val="000000"/>
              </w:rPr>
              <w:t xml:space="preserve">Number of HCA sites submitted for planning permission </w:t>
            </w:r>
          </w:p>
        </w:tc>
        <w:tc>
          <w:tcPr>
            <w:tcW w:w="1016"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2</w:t>
            </w:r>
          </w:p>
        </w:tc>
        <w:tc>
          <w:tcPr>
            <w:tcW w:w="1009"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2</w:t>
            </w:r>
          </w:p>
        </w:tc>
        <w:tc>
          <w:tcPr>
            <w:tcW w:w="1013"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1</w:t>
            </w:r>
          </w:p>
        </w:tc>
        <w:tc>
          <w:tcPr>
            <w:tcW w:w="961"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1</w:t>
            </w:r>
          </w:p>
        </w:tc>
        <w:tc>
          <w:tcPr>
            <w:tcW w:w="994" w:type="dxa"/>
            <w:shd w:val="clear" w:color="auto" w:fill="auto"/>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4 (2 outline, 2 RM)</w:t>
            </w:r>
          </w:p>
        </w:tc>
        <w:tc>
          <w:tcPr>
            <w:tcW w:w="995" w:type="dxa"/>
            <w:shd w:val="clear" w:color="auto" w:fill="auto"/>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2 (1 outline, 1 RM)</w:t>
            </w:r>
          </w:p>
        </w:tc>
        <w:tc>
          <w:tcPr>
            <w:tcW w:w="1561"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-2</w:t>
            </w:r>
          </w:p>
        </w:tc>
      </w:tr>
      <w:tr w:rsidR="007241EE" w:rsidTr="008F32CB">
        <w:trPr>
          <w:trHeight w:val="989"/>
        </w:trPr>
        <w:tc>
          <w:tcPr>
            <w:tcW w:w="1852" w:type="dxa"/>
          </w:tcPr>
          <w:p w:rsidR="007241EE" w:rsidRDefault="007241EE" w:rsidP="008F32CB">
            <w:pPr>
              <w:autoSpaceDE w:val="0"/>
              <w:autoSpaceDN w:val="0"/>
              <w:adjustRightInd w:val="0"/>
              <w:rPr>
                <w:rFonts w:ascii="Arial" w:hAnsi="Arial" w:cs="Arial"/>
                <w:color w:val="000000"/>
              </w:rPr>
            </w:pPr>
            <w:r>
              <w:rPr>
                <w:rFonts w:ascii="Arial" w:hAnsi="Arial" w:cs="Arial"/>
                <w:color w:val="000000"/>
              </w:rPr>
              <w:t xml:space="preserve">Number of HCA sites granted  planning permission </w:t>
            </w:r>
          </w:p>
        </w:tc>
        <w:tc>
          <w:tcPr>
            <w:tcW w:w="1016"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4</w:t>
            </w:r>
          </w:p>
        </w:tc>
        <w:tc>
          <w:tcPr>
            <w:tcW w:w="1009"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4</w:t>
            </w:r>
          </w:p>
        </w:tc>
        <w:tc>
          <w:tcPr>
            <w:tcW w:w="1013"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0</w:t>
            </w:r>
          </w:p>
        </w:tc>
        <w:tc>
          <w:tcPr>
            <w:tcW w:w="961"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2</w:t>
            </w:r>
          </w:p>
        </w:tc>
        <w:tc>
          <w:tcPr>
            <w:tcW w:w="994" w:type="dxa"/>
            <w:shd w:val="clear" w:color="auto" w:fill="auto"/>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2 (1 outline,</w:t>
            </w:r>
          </w:p>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1 RM)</w:t>
            </w:r>
          </w:p>
        </w:tc>
        <w:tc>
          <w:tcPr>
            <w:tcW w:w="995" w:type="dxa"/>
            <w:shd w:val="clear" w:color="auto" w:fill="auto"/>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1 (1 outline)</w:t>
            </w:r>
          </w:p>
        </w:tc>
        <w:tc>
          <w:tcPr>
            <w:tcW w:w="1561"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-3</w:t>
            </w:r>
          </w:p>
        </w:tc>
      </w:tr>
      <w:tr w:rsidR="007241EE" w:rsidTr="008F32CB">
        <w:trPr>
          <w:trHeight w:val="842"/>
        </w:trPr>
        <w:tc>
          <w:tcPr>
            <w:tcW w:w="1852" w:type="dxa"/>
          </w:tcPr>
          <w:p w:rsidR="007241EE" w:rsidRDefault="007241EE" w:rsidP="008F32CB">
            <w:pPr>
              <w:autoSpaceDE w:val="0"/>
              <w:autoSpaceDN w:val="0"/>
              <w:adjustRightInd w:val="0"/>
              <w:rPr>
                <w:rFonts w:ascii="Arial" w:hAnsi="Arial" w:cs="Arial"/>
                <w:color w:val="000000"/>
              </w:rPr>
            </w:pPr>
            <w:r>
              <w:rPr>
                <w:rFonts w:ascii="Arial" w:hAnsi="Arial" w:cs="Arial"/>
                <w:color w:val="000000"/>
              </w:rPr>
              <w:t xml:space="preserve">Number of HCA sites where construction is actively taking place </w:t>
            </w:r>
          </w:p>
        </w:tc>
        <w:tc>
          <w:tcPr>
            <w:tcW w:w="1016"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2</w:t>
            </w:r>
          </w:p>
        </w:tc>
        <w:tc>
          <w:tcPr>
            <w:tcW w:w="1009"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2</w:t>
            </w:r>
          </w:p>
        </w:tc>
        <w:tc>
          <w:tcPr>
            <w:tcW w:w="1013"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3</w:t>
            </w:r>
          </w:p>
        </w:tc>
        <w:tc>
          <w:tcPr>
            <w:tcW w:w="961"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3</w:t>
            </w:r>
          </w:p>
        </w:tc>
        <w:tc>
          <w:tcPr>
            <w:tcW w:w="994" w:type="dxa"/>
            <w:shd w:val="clear" w:color="auto" w:fill="auto"/>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8</w:t>
            </w:r>
          </w:p>
        </w:tc>
        <w:tc>
          <w:tcPr>
            <w:tcW w:w="995" w:type="dxa"/>
            <w:shd w:val="clear" w:color="auto" w:fill="auto"/>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5</w:t>
            </w:r>
          </w:p>
        </w:tc>
        <w:tc>
          <w:tcPr>
            <w:tcW w:w="1561"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-3</w:t>
            </w:r>
          </w:p>
        </w:tc>
      </w:tr>
      <w:tr w:rsidR="007241EE" w:rsidTr="008F32CB">
        <w:trPr>
          <w:trHeight w:val="1949"/>
        </w:trPr>
        <w:tc>
          <w:tcPr>
            <w:tcW w:w="1852" w:type="dxa"/>
          </w:tcPr>
          <w:p w:rsidR="007241EE" w:rsidRDefault="007241EE" w:rsidP="008F32CB">
            <w:pPr>
              <w:autoSpaceDE w:val="0"/>
              <w:autoSpaceDN w:val="0"/>
              <w:adjustRightInd w:val="0"/>
              <w:rPr>
                <w:rFonts w:ascii="Arial" w:hAnsi="Arial" w:cs="Arial"/>
                <w:color w:val="000000"/>
              </w:rPr>
            </w:pPr>
            <w:r>
              <w:rPr>
                <w:rFonts w:ascii="Arial" w:hAnsi="Arial" w:cs="Arial"/>
                <w:color w:val="000000"/>
              </w:rPr>
              <w:t xml:space="preserve">Total number of housing completions on HCA sites </w:t>
            </w:r>
          </w:p>
        </w:tc>
        <w:tc>
          <w:tcPr>
            <w:tcW w:w="1016"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38</w:t>
            </w:r>
          </w:p>
        </w:tc>
        <w:tc>
          <w:tcPr>
            <w:tcW w:w="1009"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44</w:t>
            </w:r>
          </w:p>
        </w:tc>
        <w:tc>
          <w:tcPr>
            <w:tcW w:w="1013"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56</w:t>
            </w:r>
          </w:p>
        </w:tc>
        <w:tc>
          <w:tcPr>
            <w:tcW w:w="961"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36</w:t>
            </w:r>
          </w:p>
        </w:tc>
        <w:tc>
          <w:tcPr>
            <w:tcW w:w="994" w:type="dxa"/>
            <w:shd w:val="clear" w:color="auto" w:fill="auto"/>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114</w:t>
            </w:r>
          </w:p>
        </w:tc>
        <w:tc>
          <w:tcPr>
            <w:tcW w:w="995" w:type="dxa"/>
            <w:shd w:val="clear" w:color="auto" w:fill="auto"/>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120</w:t>
            </w:r>
          </w:p>
        </w:tc>
        <w:tc>
          <w:tcPr>
            <w:tcW w:w="1561" w:type="dxa"/>
          </w:tcPr>
          <w:p w:rsidR="007241EE" w:rsidRDefault="007241EE" w:rsidP="008F32CB">
            <w:pPr>
              <w:autoSpaceDE w:val="0"/>
              <w:autoSpaceDN w:val="0"/>
              <w:adjustRightInd w:val="0"/>
              <w:jc w:val="center"/>
              <w:rPr>
                <w:rFonts w:ascii="Arial" w:hAnsi="Arial" w:cs="Arial"/>
                <w:color w:val="000000"/>
              </w:rPr>
            </w:pPr>
            <w:r>
              <w:rPr>
                <w:rFonts w:ascii="Arial" w:hAnsi="Arial" w:cs="Arial"/>
                <w:color w:val="000000"/>
              </w:rPr>
              <w:t>-8</w:t>
            </w:r>
          </w:p>
        </w:tc>
      </w:tr>
    </w:tbl>
    <w:p w:rsidR="007241EE" w:rsidRDefault="007241EE" w:rsidP="007241EE">
      <w:pPr>
        <w:rPr>
          <w:rFonts w:ascii="Arial" w:hAnsi="Arial" w:cs="Arial"/>
          <w:sz w:val="20"/>
          <w:szCs w:val="20"/>
        </w:rPr>
      </w:pPr>
      <w:r w:rsidRPr="003C3254">
        <w:rPr>
          <w:rFonts w:ascii="Arial" w:hAnsi="Arial" w:cs="Arial"/>
          <w:sz w:val="20"/>
          <w:szCs w:val="20"/>
        </w:rPr>
        <w:t>Source:  HCA</w:t>
      </w:r>
    </w:p>
    <w:p w:rsidR="00DA1650" w:rsidRDefault="00DA1650" w:rsidP="00DA1650">
      <w:pPr>
        <w:tabs>
          <w:tab w:val="left" w:pos="426"/>
        </w:tabs>
        <w:rPr>
          <w:rFonts w:ascii="Arial" w:hAnsi="Arial" w:cs="Arial"/>
          <w:b/>
          <w:sz w:val="24"/>
          <w:szCs w:val="24"/>
        </w:rPr>
      </w:pPr>
    </w:p>
    <w:p w:rsidR="00DA1650" w:rsidRDefault="00DA1650" w:rsidP="00DA1650">
      <w:pPr>
        <w:tabs>
          <w:tab w:val="left" w:pos="426"/>
        </w:tabs>
        <w:rPr>
          <w:rFonts w:ascii="Arial" w:hAnsi="Arial" w:cs="Arial"/>
          <w:b/>
          <w:sz w:val="24"/>
          <w:szCs w:val="24"/>
        </w:rPr>
      </w:pPr>
    </w:p>
    <w:p w:rsidR="00DA1650" w:rsidRDefault="00DA1650" w:rsidP="00DA1650">
      <w:pPr>
        <w:tabs>
          <w:tab w:val="left" w:pos="426"/>
        </w:tabs>
        <w:rPr>
          <w:rFonts w:ascii="Arial" w:hAnsi="Arial" w:cs="Arial"/>
          <w:b/>
          <w:sz w:val="24"/>
          <w:szCs w:val="24"/>
        </w:rPr>
      </w:pPr>
    </w:p>
    <w:p w:rsidR="007241EE" w:rsidRPr="00DA1650" w:rsidRDefault="007241EE" w:rsidP="00DA1650">
      <w:pPr>
        <w:tabs>
          <w:tab w:val="left" w:pos="426"/>
        </w:tabs>
        <w:rPr>
          <w:rFonts w:ascii="Arial" w:hAnsi="Arial" w:cs="Arial"/>
          <w:b/>
          <w:sz w:val="24"/>
          <w:szCs w:val="24"/>
        </w:rPr>
      </w:pPr>
      <w:r w:rsidRPr="00DA1650">
        <w:rPr>
          <w:rFonts w:ascii="Arial" w:hAnsi="Arial" w:cs="Arial"/>
          <w:b/>
          <w:sz w:val="24"/>
          <w:szCs w:val="24"/>
        </w:rPr>
        <w:t>How we are working to progress housing delivery:</w:t>
      </w:r>
    </w:p>
    <w:p w:rsidR="00DA1650" w:rsidRDefault="00DA1650" w:rsidP="00DA1650">
      <w:pPr>
        <w:tabs>
          <w:tab w:val="left" w:pos="426"/>
        </w:tabs>
        <w:rPr>
          <w:rFonts w:ascii="Arial" w:hAnsi="Arial" w:cs="Arial"/>
          <w:sz w:val="24"/>
          <w:szCs w:val="24"/>
        </w:rPr>
      </w:pPr>
    </w:p>
    <w:p w:rsidR="007241EE" w:rsidRPr="009C3CAF" w:rsidRDefault="007241EE" w:rsidP="00DA1650">
      <w:pPr>
        <w:tabs>
          <w:tab w:val="left" w:pos="426"/>
        </w:tabs>
        <w:rPr>
          <w:rFonts w:ascii="Arial" w:hAnsi="Arial" w:cs="Arial"/>
          <w:sz w:val="24"/>
          <w:szCs w:val="24"/>
        </w:rPr>
      </w:pPr>
      <w:r w:rsidRPr="009C3CAF">
        <w:rPr>
          <w:rFonts w:ascii="Arial" w:hAnsi="Arial" w:cs="Arial"/>
          <w:sz w:val="24"/>
          <w:szCs w:val="24"/>
        </w:rPr>
        <w:t xml:space="preserve">Across the City Deal area the recently formed Development Sites Delivery Group will take a strategic role in overseeing </w:t>
      </w:r>
      <w:r>
        <w:rPr>
          <w:rFonts w:ascii="Arial" w:hAnsi="Arial" w:cs="Arial"/>
          <w:sz w:val="24"/>
          <w:szCs w:val="24"/>
        </w:rPr>
        <w:t>the sites</w:t>
      </w:r>
      <w:r w:rsidRPr="009C3CAF">
        <w:rPr>
          <w:rFonts w:ascii="Arial" w:hAnsi="Arial" w:cs="Arial"/>
          <w:sz w:val="24"/>
          <w:szCs w:val="24"/>
        </w:rPr>
        <w:t>. The Group will identify performance, identify blockages and work on solutions to ensure site delivery is optimised.</w:t>
      </w:r>
    </w:p>
    <w:p w:rsidR="00DA1650" w:rsidRDefault="00DA1650" w:rsidP="00DA1650">
      <w:pPr>
        <w:tabs>
          <w:tab w:val="left" w:pos="426"/>
        </w:tabs>
        <w:rPr>
          <w:rFonts w:ascii="Arial" w:hAnsi="Arial" w:cs="Arial"/>
          <w:sz w:val="24"/>
          <w:szCs w:val="24"/>
        </w:rPr>
      </w:pPr>
    </w:p>
    <w:p w:rsidR="007241EE" w:rsidRDefault="007241EE" w:rsidP="00DA1650">
      <w:pPr>
        <w:tabs>
          <w:tab w:val="left" w:pos="426"/>
        </w:tabs>
        <w:rPr>
          <w:rFonts w:ascii="Arial" w:hAnsi="Arial" w:cs="Arial"/>
          <w:sz w:val="24"/>
          <w:szCs w:val="24"/>
        </w:rPr>
      </w:pPr>
      <w:r w:rsidRPr="009C3CAF">
        <w:rPr>
          <w:rFonts w:ascii="Arial" w:hAnsi="Arial" w:cs="Arial"/>
          <w:sz w:val="24"/>
          <w:szCs w:val="24"/>
        </w:rPr>
        <w:t>A Housing Delivery Action Plan is being developed by South Ribble and includes the following actions:-</w:t>
      </w:r>
    </w:p>
    <w:p w:rsidR="00DA1650" w:rsidRPr="009C3CAF" w:rsidRDefault="00DA1650" w:rsidP="00DA1650">
      <w:pPr>
        <w:tabs>
          <w:tab w:val="left" w:pos="426"/>
        </w:tabs>
        <w:rPr>
          <w:rFonts w:ascii="Arial" w:hAnsi="Arial" w:cs="Arial"/>
          <w:sz w:val="24"/>
          <w:szCs w:val="24"/>
        </w:rPr>
      </w:pPr>
    </w:p>
    <w:p w:rsidR="007241EE" w:rsidRPr="00AE6BD9" w:rsidRDefault="007241EE" w:rsidP="007241EE">
      <w:pPr>
        <w:pStyle w:val="ListParagraph"/>
        <w:numPr>
          <w:ilvl w:val="0"/>
          <w:numId w:val="7"/>
        </w:numPr>
        <w:tabs>
          <w:tab w:val="left" w:pos="426"/>
        </w:tabs>
        <w:spacing w:after="160" w:line="259" w:lineRule="auto"/>
        <w:rPr>
          <w:rFonts w:ascii="Arial" w:hAnsi="Arial" w:cs="Arial"/>
          <w:sz w:val="24"/>
          <w:szCs w:val="24"/>
        </w:rPr>
      </w:pPr>
      <w:r w:rsidRPr="00AE6BD9">
        <w:rPr>
          <w:rFonts w:ascii="Arial" w:hAnsi="Arial" w:cs="Arial"/>
          <w:sz w:val="24"/>
          <w:szCs w:val="24"/>
        </w:rPr>
        <w:t xml:space="preserve">Survey of developers to establish barriers to delivery </w:t>
      </w:r>
    </w:p>
    <w:p w:rsidR="007241EE" w:rsidRPr="00AE6BD9" w:rsidRDefault="007241EE" w:rsidP="007241EE">
      <w:pPr>
        <w:pStyle w:val="ListParagraph"/>
        <w:numPr>
          <w:ilvl w:val="0"/>
          <w:numId w:val="7"/>
        </w:numPr>
        <w:tabs>
          <w:tab w:val="left" w:pos="426"/>
        </w:tabs>
        <w:spacing w:after="160" w:line="259" w:lineRule="auto"/>
        <w:rPr>
          <w:rFonts w:ascii="Arial" w:hAnsi="Arial" w:cs="Arial"/>
          <w:sz w:val="24"/>
          <w:szCs w:val="24"/>
        </w:rPr>
      </w:pPr>
      <w:r w:rsidRPr="00AE6BD9">
        <w:rPr>
          <w:rFonts w:ascii="Arial" w:hAnsi="Arial" w:cs="Arial"/>
          <w:sz w:val="24"/>
          <w:szCs w:val="24"/>
        </w:rPr>
        <w:t>Targeted meetings with key developers/landowners/agents</w:t>
      </w:r>
    </w:p>
    <w:p w:rsidR="007241EE" w:rsidRPr="00AE6BD9" w:rsidRDefault="007241EE" w:rsidP="007241EE">
      <w:pPr>
        <w:pStyle w:val="ListParagraph"/>
        <w:numPr>
          <w:ilvl w:val="0"/>
          <w:numId w:val="7"/>
        </w:numPr>
        <w:tabs>
          <w:tab w:val="left" w:pos="426"/>
        </w:tabs>
        <w:spacing w:after="160" w:line="259" w:lineRule="auto"/>
        <w:rPr>
          <w:rFonts w:ascii="Arial" w:hAnsi="Arial" w:cs="Arial"/>
          <w:sz w:val="24"/>
          <w:szCs w:val="24"/>
        </w:rPr>
      </w:pPr>
      <w:r w:rsidRPr="00AE6BD9">
        <w:rPr>
          <w:rFonts w:ascii="Arial" w:hAnsi="Arial" w:cs="Arial"/>
          <w:sz w:val="24"/>
          <w:szCs w:val="24"/>
        </w:rPr>
        <w:t>Mapping of City Deal sites and funding opportunities</w:t>
      </w:r>
    </w:p>
    <w:p w:rsidR="007241EE" w:rsidRPr="00AE6BD9" w:rsidRDefault="007241EE" w:rsidP="007241EE">
      <w:pPr>
        <w:pStyle w:val="ListParagraph"/>
        <w:numPr>
          <w:ilvl w:val="0"/>
          <w:numId w:val="7"/>
        </w:numPr>
        <w:tabs>
          <w:tab w:val="left" w:pos="426"/>
        </w:tabs>
        <w:spacing w:after="160" w:line="259" w:lineRule="auto"/>
        <w:rPr>
          <w:rFonts w:ascii="Arial" w:hAnsi="Arial" w:cs="Arial"/>
          <w:sz w:val="24"/>
          <w:szCs w:val="24"/>
        </w:rPr>
      </w:pPr>
      <w:r w:rsidRPr="00AE6BD9">
        <w:rPr>
          <w:rFonts w:ascii="Arial" w:hAnsi="Arial" w:cs="Arial"/>
          <w:sz w:val="24"/>
          <w:szCs w:val="24"/>
        </w:rPr>
        <w:t>Use of an emerging Investment Strategy to assist delivery</w:t>
      </w:r>
    </w:p>
    <w:p w:rsidR="007241EE" w:rsidRDefault="007241EE" w:rsidP="007241EE">
      <w:pPr>
        <w:pStyle w:val="ListParagraph"/>
        <w:numPr>
          <w:ilvl w:val="0"/>
          <w:numId w:val="7"/>
        </w:numPr>
        <w:tabs>
          <w:tab w:val="left" w:pos="426"/>
        </w:tabs>
        <w:spacing w:after="160" w:line="259" w:lineRule="auto"/>
        <w:rPr>
          <w:rFonts w:ascii="Arial" w:hAnsi="Arial" w:cs="Arial"/>
          <w:sz w:val="24"/>
          <w:szCs w:val="24"/>
        </w:rPr>
      </w:pPr>
      <w:r w:rsidRPr="00AE6BD9">
        <w:rPr>
          <w:rFonts w:ascii="Arial" w:hAnsi="Arial" w:cs="Arial"/>
          <w:sz w:val="24"/>
          <w:szCs w:val="24"/>
        </w:rPr>
        <w:t>Working with partners (such as the HCA) to bring sites forward</w:t>
      </w:r>
    </w:p>
    <w:p w:rsidR="007241EE" w:rsidRPr="009C3CAF" w:rsidRDefault="007241EE" w:rsidP="00DA1650">
      <w:pPr>
        <w:tabs>
          <w:tab w:val="left" w:pos="426"/>
        </w:tabs>
        <w:rPr>
          <w:rFonts w:ascii="Arial" w:hAnsi="Arial" w:cs="Arial"/>
          <w:sz w:val="24"/>
          <w:szCs w:val="24"/>
        </w:rPr>
      </w:pPr>
      <w:r w:rsidRPr="009C3CAF">
        <w:rPr>
          <w:rFonts w:ascii="Arial" w:hAnsi="Arial" w:cs="Arial"/>
          <w:sz w:val="24"/>
          <w:szCs w:val="24"/>
        </w:rPr>
        <w:t xml:space="preserve">It is recognised that the momentum of house building at NW Preston needs to be maintained and that requires urgent progress on the infrastructure that will enable the next phases of development to come forward. </w:t>
      </w:r>
    </w:p>
    <w:p w:rsidR="00DA1650" w:rsidRDefault="00DA1650" w:rsidP="00DA1650">
      <w:pPr>
        <w:tabs>
          <w:tab w:val="left" w:pos="0"/>
        </w:tabs>
        <w:rPr>
          <w:rFonts w:ascii="Arial" w:hAnsi="Arial" w:cs="Arial"/>
          <w:sz w:val="24"/>
          <w:szCs w:val="24"/>
        </w:rPr>
      </w:pPr>
    </w:p>
    <w:p w:rsidR="007241EE" w:rsidRPr="009C3CAF" w:rsidRDefault="007241EE" w:rsidP="00DA1650">
      <w:pPr>
        <w:tabs>
          <w:tab w:val="left" w:pos="0"/>
        </w:tabs>
        <w:rPr>
          <w:rFonts w:ascii="Arial" w:hAnsi="Arial" w:cs="Arial"/>
          <w:sz w:val="24"/>
          <w:szCs w:val="24"/>
        </w:rPr>
      </w:pPr>
      <w:r w:rsidRPr="009C3CAF">
        <w:rPr>
          <w:rFonts w:ascii="Arial" w:hAnsi="Arial" w:cs="Arial"/>
          <w:sz w:val="24"/>
          <w:szCs w:val="24"/>
        </w:rPr>
        <w:t>In addition, the partners are in the process of advertising 3 key posts, using the recent HCA Capacity and Housing Zone funding awards.  The posts will provide much needed capacity to support the progress of large strategic sites across the City Deal area, specific sites in North West Preston and across the Housing Zone area.  The postholders will have a key role negotiating and acting as broker with developers and landowners, and identifying and resolving issues to speed up delivery on the ground.</w:t>
      </w:r>
    </w:p>
    <w:p w:rsidR="00DA1650" w:rsidRDefault="00DA1650" w:rsidP="00DA1650">
      <w:pPr>
        <w:tabs>
          <w:tab w:val="left" w:pos="426"/>
        </w:tabs>
        <w:rPr>
          <w:rFonts w:ascii="Arial" w:hAnsi="Arial" w:cs="Arial"/>
          <w:sz w:val="24"/>
          <w:szCs w:val="24"/>
        </w:rPr>
      </w:pPr>
    </w:p>
    <w:p w:rsidR="007241EE" w:rsidRDefault="007241EE" w:rsidP="00DA1650">
      <w:pPr>
        <w:tabs>
          <w:tab w:val="left" w:pos="426"/>
        </w:tabs>
        <w:rPr>
          <w:rFonts w:ascii="Arial" w:hAnsi="Arial" w:cs="Arial"/>
          <w:sz w:val="24"/>
          <w:szCs w:val="24"/>
        </w:rPr>
      </w:pPr>
      <w:r w:rsidRPr="009C3CAF">
        <w:rPr>
          <w:rFonts w:ascii="Arial" w:hAnsi="Arial" w:cs="Arial"/>
          <w:sz w:val="24"/>
          <w:szCs w:val="24"/>
        </w:rPr>
        <w:t>A full analysis of each housing site providing a progress report against planning and delivery milestones is presented in Appendix 2.  Broadly this demonstrates that of 78 sites in total there were 11 at the pre-construction/planning phase in year 3.    Of these</w:t>
      </w:r>
      <w:r>
        <w:rPr>
          <w:rFonts w:ascii="Arial" w:hAnsi="Arial" w:cs="Arial"/>
          <w:sz w:val="24"/>
          <w:szCs w:val="24"/>
        </w:rPr>
        <w:t>,</w:t>
      </w:r>
      <w:r w:rsidRPr="009C3CAF">
        <w:rPr>
          <w:rFonts w:ascii="Arial" w:hAnsi="Arial" w:cs="Arial"/>
          <w:sz w:val="24"/>
          <w:szCs w:val="24"/>
        </w:rPr>
        <w:t xml:space="preserve"> 9 are progressing as planned with 2 not progressing as planned.  Additionally there are 10 sites where construction commenced in </w:t>
      </w:r>
      <w:r>
        <w:rPr>
          <w:rFonts w:ascii="Arial" w:hAnsi="Arial" w:cs="Arial"/>
          <w:sz w:val="24"/>
          <w:szCs w:val="24"/>
        </w:rPr>
        <w:t>Y</w:t>
      </w:r>
      <w:r w:rsidRPr="009C3CAF">
        <w:rPr>
          <w:rFonts w:ascii="Arial" w:hAnsi="Arial" w:cs="Arial"/>
          <w:sz w:val="24"/>
          <w:szCs w:val="24"/>
        </w:rPr>
        <w:t xml:space="preserve">ear 3 taking the total number of sites where construction is actively taking place to 25. </w:t>
      </w:r>
    </w:p>
    <w:p w:rsidR="00DA1650" w:rsidRPr="009C3CAF" w:rsidRDefault="00DA1650" w:rsidP="00DA1650">
      <w:pPr>
        <w:tabs>
          <w:tab w:val="left" w:pos="426"/>
        </w:tabs>
        <w:rPr>
          <w:rFonts w:ascii="Arial" w:hAnsi="Arial" w:cs="Arial"/>
          <w:sz w:val="24"/>
          <w:szCs w:val="24"/>
        </w:rPr>
      </w:pPr>
    </w:p>
    <w:p w:rsidR="007241EE" w:rsidRDefault="007241EE" w:rsidP="007241EE">
      <w:pPr>
        <w:tabs>
          <w:tab w:val="left" w:pos="426"/>
        </w:tabs>
        <w:rPr>
          <w:rFonts w:ascii="Arial" w:hAnsi="Arial" w:cs="Arial"/>
          <w:b/>
          <w:sz w:val="24"/>
          <w:szCs w:val="24"/>
        </w:rPr>
      </w:pPr>
      <w:r w:rsidRPr="009C3CAF">
        <w:rPr>
          <w:rFonts w:ascii="Arial" w:hAnsi="Arial" w:cs="Arial"/>
          <w:b/>
          <w:sz w:val="24"/>
          <w:szCs w:val="24"/>
        </w:rPr>
        <w:t xml:space="preserve">Notable progress has been made on the following named sites: </w:t>
      </w:r>
    </w:p>
    <w:p w:rsidR="00DA1650" w:rsidRPr="009C3CAF" w:rsidRDefault="00DA1650" w:rsidP="007241EE">
      <w:pPr>
        <w:tabs>
          <w:tab w:val="left" w:pos="426"/>
        </w:tabs>
        <w:rPr>
          <w:rFonts w:ascii="Arial" w:hAnsi="Arial" w:cs="Arial"/>
          <w:b/>
          <w:sz w:val="24"/>
          <w:szCs w:val="24"/>
        </w:rPr>
      </w:pPr>
    </w:p>
    <w:p w:rsidR="007241EE" w:rsidRPr="007D1677" w:rsidRDefault="007241EE" w:rsidP="007241EE">
      <w:pPr>
        <w:pStyle w:val="ListParagraph"/>
        <w:numPr>
          <w:ilvl w:val="1"/>
          <w:numId w:val="17"/>
        </w:numPr>
        <w:tabs>
          <w:tab w:val="left" w:pos="426"/>
        </w:tabs>
        <w:spacing w:after="160" w:line="259" w:lineRule="auto"/>
        <w:rPr>
          <w:rFonts w:ascii="Arial" w:hAnsi="Arial" w:cs="Arial"/>
          <w:sz w:val="24"/>
          <w:szCs w:val="24"/>
        </w:rPr>
      </w:pPr>
      <w:r w:rsidRPr="007D1677">
        <w:rPr>
          <w:rFonts w:ascii="Arial" w:hAnsi="Arial" w:cs="Arial"/>
          <w:sz w:val="24"/>
          <w:szCs w:val="24"/>
        </w:rPr>
        <w:t xml:space="preserve">All NW Preston sites are progressing well, Haydock Grange </w:t>
      </w:r>
      <w:r>
        <w:rPr>
          <w:rFonts w:ascii="Arial" w:hAnsi="Arial" w:cs="Arial"/>
          <w:sz w:val="24"/>
          <w:szCs w:val="24"/>
        </w:rPr>
        <w:t>is</w:t>
      </w:r>
      <w:r w:rsidRPr="007D1677">
        <w:rPr>
          <w:rFonts w:ascii="Arial" w:hAnsi="Arial" w:cs="Arial"/>
          <w:sz w:val="24"/>
          <w:szCs w:val="24"/>
        </w:rPr>
        <w:t xml:space="preserve"> progressing particularly quickly and Eastway </w:t>
      </w:r>
      <w:r>
        <w:rPr>
          <w:rFonts w:ascii="Arial" w:hAnsi="Arial" w:cs="Arial"/>
          <w:sz w:val="24"/>
          <w:szCs w:val="24"/>
        </w:rPr>
        <w:t>is</w:t>
      </w:r>
      <w:r w:rsidRPr="007D1677">
        <w:rPr>
          <w:rFonts w:ascii="Arial" w:hAnsi="Arial" w:cs="Arial"/>
          <w:sz w:val="24"/>
          <w:szCs w:val="24"/>
        </w:rPr>
        <w:t xml:space="preserve"> also performing well, although start on site was only recently.</w:t>
      </w:r>
    </w:p>
    <w:p w:rsidR="007241EE" w:rsidRPr="007D1677" w:rsidRDefault="007241EE" w:rsidP="007241EE">
      <w:pPr>
        <w:pStyle w:val="ListParagraph"/>
        <w:numPr>
          <w:ilvl w:val="1"/>
          <w:numId w:val="17"/>
        </w:numPr>
        <w:tabs>
          <w:tab w:val="left" w:pos="426"/>
        </w:tabs>
        <w:spacing w:after="160" w:line="259" w:lineRule="auto"/>
        <w:rPr>
          <w:rFonts w:ascii="Arial" w:hAnsi="Arial" w:cs="Arial"/>
          <w:sz w:val="24"/>
          <w:szCs w:val="24"/>
        </w:rPr>
      </w:pPr>
      <w:r>
        <w:rPr>
          <w:rFonts w:ascii="Arial" w:hAnsi="Arial" w:cs="Arial"/>
          <w:sz w:val="24"/>
          <w:szCs w:val="24"/>
        </w:rPr>
        <w:t>In South Ribble the Altcar L</w:t>
      </w:r>
      <w:r w:rsidRPr="007D1677">
        <w:rPr>
          <w:rFonts w:ascii="Arial" w:hAnsi="Arial" w:cs="Arial"/>
          <w:sz w:val="24"/>
          <w:szCs w:val="24"/>
        </w:rPr>
        <w:t xml:space="preserve">ane site has gained outline planning permission and reserved matters submissions are expected in the near future.  </w:t>
      </w:r>
    </w:p>
    <w:p w:rsidR="007241EE" w:rsidRPr="007D1677" w:rsidRDefault="007241EE" w:rsidP="007241EE">
      <w:pPr>
        <w:pStyle w:val="ListParagraph"/>
        <w:numPr>
          <w:ilvl w:val="1"/>
          <w:numId w:val="17"/>
        </w:numPr>
        <w:tabs>
          <w:tab w:val="left" w:pos="426"/>
        </w:tabs>
        <w:spacing w:after="160" w:line="259" w:lineRule="auto"/>
        <w:rPr>
          <w:rFonts w:ascii="Arial" w:hAnsi="Arial" w:cs="Arial"/>
          <w:sz w:val="24"/>
          <w:szCs w:val="24"/>
        </w:rPr>
      </w:pPr>
      <w:r w:rsidRPr="007D1677">
        <w:rPr>
          <w:rFonts w:ascii="Arial" w:hAnsi="Arial" w:cs="Arial"/>
          <w:sz w:val="24"/>
          <w:szCs w:val="24"/>
        </w:rPr>
        <w:t>The southern end of the Croston Road site is progressing at pace and the HCA is looking at options to facilitate the delivery of the spine road on the northern section of the site.</w:t>
      </w:r>
    </w:p>
    <w:p w:rsidR="007241EE" w:rsidRPr="007D1677" w:rsidRDefault="007241EE" w:rsidP="007241EE">
      <w:pPr>
        <w:pStyle w:val="ListParagraph"/>
        <w:numPr>
          <w:ilvl w:val="1"/>
          <w:numId w:val="17"/>
        </w:numPr>
        <w:tabs>
          <w:tab w:val="left" w:pos="426"/>
        </w:tabs>
        <w:spacing w:after="160" w:line="259" w:lineRule="auto"/>
        <w:rPr>
          <w:rFonts w:ascii="Arial" w:hAnsi="Arial" w:cs="Arial"/>
          <w:sz w:val="24"/>
          <w:szCs w:val="24"/>
        </w:rPr>
      </w:pPr>
      <w:r w:rsidRPr="007D1677">
        <w:rPr>
          <w:rFonts w:ascii="Arial" w:hAnsi="Arial" w:cs="Arial"/>
          <w:sz w:val="24"/>
          <w:szCs w:val="24"/>
        </w:rPr>
        <w:lastRenderedPageBreak/>
        <w:t>The Wesley Street Mill site gained reserved matters consent and work is expected to commence in 2017/18.</w:t>
      </w:r>
    </w:p>
    <w:p w:rsidR="007241EE" w:rsidRDefault="007241EE" w:rsidP="007241EE">
      <w:pPr>
        <w:tabs>
          <w:tab w:val="left" w:pos="426"/>
        </w:tabs>
        <w:rPr>
          <w:rFonts w:ascii="Arial" w:hAnsi="Arial" w:cs="Arial"/>
          <w:b/>
          <w:sz w:val="24"/>
          <w:szCs w:val="24"/>
        </w:rPr>
      </w:pPr>
      <w:r w:rsidRPr="00C37A1A">
        <w:rPr>
          <w:rFonts w:ascii="Arial" w:hAnsi="Arial" w:cs="Arial"/>
          <w:b/>
          <w:sz w:val="24"/>
          <w:szCs w:val="24"/>
        </w:rPr>
        <w:t>The following sites have not progressed as anticipated:</w:t>
      </w:r>
    </w:p>
    <w:p w:rsidR="00DA1650" w:rsidRPr="00C37A1A" w:rsidRDefault="00DA1650" w:rsidP="007241EE">
      <w:pPr>
        <w:tabs>
          <w:tab w:val="left" w:pos="426"/>
        </w:tabs>
        <w:rPr>
          <w:rFonts w:ascii="Arial" w:hAnsi="Arial" w:cs="Arial"/>
          <w:b/>
          <w:sz w:val="24"/>
          <w:szCs w:val="24"/>
        </w:rPr>
      </w:pPr>
    </w:p>
    <w:p w:rsidR="007241EE" w:rsidRPr="00DF1E5C" w:rsidRDefault="007241EE" w:rsidP="007241EE">
      <w:pPr>
        <w:pStyle w:val="ListParagraph"/>
        <w:numPr>
          <w:ilvl w:val="0"/>
          <w:numId w:val="18"/>
        </w:numPr>
        <w:tabs>
          <w:tab w:val="left" w:pos="426"/>
        </w:tabs>
        <w:spacing w:after="160" w:line="259" w:lineRule="auto"/>
        <w:rPr>
          <w:rFonts w:ascii="Arial" w:hAnsi="Arial" w:cs="Arial"/>
          <w:sz w:val="24"/>
          <w:szCs w:val="24"/>
        </w:rPr>
      </w:pPr>
      <w:r w:rsidRPr="00DF1E5C">
        <w:rPr>
          <w:rFonts w:ascii="Arial" w:hAnsi="Arial" w:cs="Arial"/>
          <w:sz w:val="24"/>
          <w:szCs w:val="24"/>
        </w:rPr>
        <w:t xml:space="preserve">Whittingham Hospital is not progressing as quickly as expected and further phases beyond that being completed by Taylor Wimpey may be delayed. </w:t>
      </w:r>
    </w:p>
    <w:p w:rsidR="007241EE" w:rsidRPr="00DF1E5C" w:rsidRDefault="007241EE" w:rsidP="007241EE">
      <w:pPr>
        <w:pStyle w:val="ListParagraph"/>
        <w:numPr>
          <w:ilvl w:val="0"/>
          <w:numId w:val="18"/>
        </w:numPr>
        <w:tabs>
          <w:tab w:val="left" w:pos="426"/>
        </w:tabs>
        <w:spacing w:after="160" w:line="259" w:lineRule="auto"/>
        <w:rPr>
          <w:rFonts w:ascii="Arial" w:hAnsi="Arial" w:cs="Arial"/>
          <w:sz w:val="24"/>
          <w:szCs w:val="24"/>
        </w:rPr>
      </w:pPr>
      <w:r w:rsidRPr="00DF1E5C">
        <w:rPr>
          <w:rFonts w:ascii="Arial" w:hAnsi="Arial" w:cs="Arial"/>
          <w:sz w:val="24"/>
          <w:szCs w:val="24"/>
        </w:rPr>
        <w:t>Sites that gained planning permission through a strategic land company (Gladman) at Longridge have been slower coming to the market although there are now signs of reserved matters being brought forward.</w:t>
      </w:r>
    </w:p>
    <w:p w:rsidR="007241EE" w:rsidRPr="00DF1E5C" w:rsidRDefault="007241EE" w:rsidP="007241EE">
      <w:pPr>
        <w:pStyle w:val="ListParagraph"/>
        <w:numPr>
          <w:ilvl w:val="0"/>
          <w:numId w:val="18"/>
        </w:numPr>
        <w:tabs>
          <w:tab w:val="left" w:pos="426"/>
        </w:tabs>
        <w:spacing w:after="160" w:line="259" w:lineRule="auto"/>
        <w:rPr>
          <w:rFonts w:ascii="Arial" w:hAnsi="Arial" w:cs="Arial"/>
          <w:sz w:val="24"/>
          <w:szCs w:val="24"/>
        </w:rPr>
      </w:pPr>
      <w:r w:rsidRPr="00DF1E5C">
        <w:rPr>
          <w:rFonts w:ascii="Arial" w:hAnsi="Arial" w:cs="Arial"/>
          <w:sz w:val="24"/>
          <w:szCs w:val="24"/>
        </w:rPr>
        <w:t>The complexity of land owners presents a challenge to bringing forward the Pickerings Farm site, as does the need to resolve access over the West Coast Main Line.  Work to prepare a masterplan has awaited collaboration arrangements between the site's two principal developer interests, HCA and Taylor Wimpey.</w:t>
      </w:r>
    </w:p>
    <w:p w:rsidR="007241EE" w:rsidRPr="00DF1E5C" w:rsidRDefault="007241EE" w:rsidP="007241EE">
      <w:pPr>
        <w:pStyle w:val="ListParagraph"/>
        <w:numPr>
          <w:ilvl w:val="0"/>
          <w:numId w:val="18"/>
        </w:numPr>
        <w:tabs>
          <w:tab w:val="left" w:pos="426"/>
        </w:tabs>
        <w:spacing w:after="160" w:line="259" w:lineRule="auto"/>
        <w:rPr>
          <w:rFonts w:ascii="Arial" w:hAnsi="Arial" w:cs="Arial"/>
          <w:sz w:val="24"/>
          <w:szCs w:val="24"/>
        </w:rPr>
      </w:pPr>
      <w:r w:rsidRPr="00DF1E5C">
        <w:rPr>
          <w:rFonts w:ascii="Arial" w:hAnsi="Arial" w:cs="Arial"/>
          <w:sz w:val="24"/>
          <w:szCs w:val="24"/>
        </w:rPr>
        <w:t>Leyland Test Track: The submitted Masterplan was not endorsed by the   Planning Committee and the developer is now revisiting it to address the concerns of the Committee. It is anticipated that this will return to Committee in July 2017.</w:t>
      </w:r>
    </w:p>
    <w:p w:rsidR="007241EE" w:rsidRPr="00DF1E5C" w:rsidRDefault="007241EE" w:rsidP="007241EE">
      <w:pPr>
        <w:pStyle w:val="ListParagraph"/>
        <w:numPr>
          <w:ilvl w:val="0"/>
          <w:numId w:val="18"/>
        </w:numPr>
        <w:tabs>
          <w:tab w:val="left" w:pos="426"/>
        </w:tabs>
        <w:spacing w:after="160" w:line="259" w:lineRule="auto"/>
        <w:rPr>
          <w:rFonts w:ascii="Arial" w:hAnsi="Arial" w:cs="Arial"/>
          <w:sz w:val="24"/>
          <w:szCs w:val="24"/>
        </w:rPr>
      </w:pPr>
      <w:r w:rsidRPr="00DF1E5C">
        <w:rPr>
          <w:rFonts w:ascii="Arial" w:hAnsi="Arial" w:cs="Arial"/>
          <w:sz w:val="24"/>
          <w:szCs w:val="24"/>
        </w:rPr>
        <w:t xml:space="preserve">The development of the entire Heatherleigh/Croston road site has experienced issues with individual landowners not wanting to bring their land forward at this time. </w:t>
      </w:r>
    </w:p>
    <w:p w:rsidR="007241EE" w:rsidRPr="00DF1E5C" w:rsidRDefault="007241EE" w:rsidP="007241EE">
      <w:pPr>
        <w:pStyle w:val="ListParagraph"/>
        <w:numPr>
          <w:ilvl w:val="0"/>
          <w:numId w:val="18"/>
        </w:numPr>
        <w:tabs>
          <w:tab w:val="left" w:pos="426"/>
        </w:tabs>
        <w:spacing w:after="160" w:line="259" w:lineRule="auto"/>
        <w:rPr>
          <w:rFonts w:ascii="Arial" w:hAnsi="Arial" w:cs="Arial"/>
          <w:sz w:val="24"/>
          <w:szCs w:val="24"/>
        </w:rPr>
      </w:pPr>
      <w:r w:rsidRPr="00DF1E5C">
        <w:rPr>
          <w:rFonts w:ascii="Arial" w:hAnsi="Arial" w:cs="Arial"/>
          <w:sz w:val="24"/>
          <w:szCs w:val="24"/>
        </w:rPr>
        <w:t>Land to the north and south of the Cawsey (Bovis and Morris) has been delayed because of the Planning Appeal for an access through the Sumpter Horse which in turn has delayed negotiations for the completion of the Cross Borough Link Road.</w:t>
      </w:r>
    </w:p>
    <w:p w:rsidR="007241EE" w:rsidRDefault="007241EE" w:rsidP="007241EE">
      <w:pPr>
        <w:rPr>
          <w:rFonts w:ascii="Arial" w:hAnsi="Arial" w:cs="Arial"/>
          <w:b/>
          <w:sz w:val="24"/>
          <w:szCs w:val="24"/>
        </w:rPr>
      </w:pPr>
      <w:r w:rsidRPr="009C3CAF">
        <w:rPr>
          <w:rFonts w:ascii="Arial" w:hAnsi="Arial" w:cs="Arial"/>
          <w:b/>
          <w:sz w:val="24"/>
          <w:szCs w:val="24"/>
        </w:rPr>
        <w:t xml:space="preserve">Commercial Floorspace Outputs </w:t>
      </w:r>
    </w:p>
    <w:p w:rsidR="00DA1650" w:rsidRPr="009C3CAF" w:rsidRDefault="00DA1650" w:rsidP="007241EE">
      <w:pPr>
        <w:rPr>
          <w:rFonts w:ascii="Arial" w:hAnsi="Arial" w:cs="Arial"/>
          <w:b/>
          <w:sz w:val="24"/>
          <w:szCs w:val="24"/>
        </w:rPr>
      </w:pPr>
    </w:p>
    <w:p w:rsidR="007241EE" w:rsidRDefault="007241EE" w:rsidP="007241EE">
      <w:pPr>
        <w:rPr>
          <w:rFonts w:ascii="Arial" w:hAnsi="Arial" w:cs="Arial"/>
          <w:sz w:val="24"/>
          <w:szCs w:val="24"/>
        </w:rPr>
      </w:pPr>
      <w:r w:rsidRPr="009C3CAF">
        <w:rPr>
          <w:rFonts w:ascii="Arial" w:hAnsi="Arial" w:cs="Arial"/>
          <w:sz w:val="24"/>
          <w:szCs w:val="24"/>
        </w:rPr>
        <w:t xml:space="preserve">Overall in year 3 there has been a relatively strong performance of completions against targets with </w:t>
      </w:r>
      <w:r w:rsidRPr="009C3CAF">
        <w:rPr>
          <w:rFonts w:ascii="Arial" w:hAnsi="Arial" w:cs="Arial"/>
          <w:b/>
          <w:sz w:val="24"/>
          <w:szCs w:val="24"/>
        </w:rPr>
        <w:t>36,292 sq m</w:t>
      </w:r>
      <w:r w:rsidRPr="009C3CAF">
        <w:rPr>
          <w:rFonts w:ascii="Arial" w:hAnsi="Arial" w:cs="Arial"/>
          <w:sz w:val="24"/>
          <w:szCs w:val="24"/>
        </w:rPr>
        <w:t xml:space="preserve"> of commercial floorspace completions compared with the target of </w:t>
      </w:r>
      <w:r w:rsidRPr="009C3CAF">
        <w:rPr>
          <w:rFonts w:ascii="Arial" w:hAnsi="Arial" w:cs="Arial"/>
          <w:b/>
          <w:sz w:val="24"/>
          <w:szCs w:val="24"/>
        </w:rPr>
        <w:t>27,255 sq m</w:t>
      </w:r>
      <w:r w:rsidRPr="009C3CAF">
        <w:rPr>
          <w:rFonts w:ascii="Arial" w:hAnsi="Arial" w:cs="Arial"/>
          <w:sz w:val="24"/>
          <w:szCs w:val="24"/>
        </w:rPr>
        <w:t xml:space="preserve">.  This is largely due to additional build out of industrial units at South Rings, as well as other sites coming forward for industrial use/car showroom activity elsewhere in Preston and South Ribble.   </w:t>
      </w:r>
    </w:p>
    <w:p w:rsidR="00DA1650" w:rsidRPr="009C3CAF" w:rsidRDefault="00DA1650" w:rsidP="007241EE">
      <w:pPr>
        <w:rPr>
          <w:rFonts w:ascii="Arial" w:hAnsi="Arial" w:cs="Arial"/>
          <w:sz w:val="24"/>
          <w:szCs w:val="24"/>
        </w:rPr>
      </w:pPr>
    </w:p>
    <w:p w:rsidR="00DA1650" w:rsidRDefault="007241EE" w:rsidP="007241EE">
      <w:pPr>
        <w:rPr>
          <w:rFonts w:ascii="Arial" w:hAnsi="Arial" w:cs="Arial"/>
          <w:sz w:val="24"/>
          <w:szCs w:val="24"/>
        </w:rPr>
      </w:pPr>
      <w:r w:rsidRPr="009C3CAF">
        <w:rPr>
          <w:rFonts w:ascii="Arial" w:hAnsi="Arial" w:cs="Arial"/>
          <w:sz w:val="24"/>
          <w:szCs w:val="24"/>
        </w:rPr>
        <w:t xml:space="preserve">Cumulatively completions are also on target against trajectories with </w:t>
      </w:r>
      <w:r w:rsidRPr="009C3CAF">
        <w:rPr>
          <w:rFonts w:ascii="Arial" w:hAnsi="Arial" w:cs="Arial"/>
          <w:b/>
          <w:sz w:val="24"/>
          <w:szCs w:val="24"/>
        </w:rPr>
        <w:t>45,957 sq m</w:t>
      </w:r>
      <w:r w:rsidRPr="009C3CAF">
        <w:rPr>
          <w:rFonts w:ascii="Arial" w:hAnsi="Arial" w:cs="Arial"/>
          <w:sz w:val="24"/>
          <w:szCs w:val="24"/>
        </w:rPr>
        <w:t xml:space="preserve"> of commercial floorspace completions compared with the target of </w:t>
      </w:r>
      <w:r w:rsidRPr="009C3CAF">
        <w:rPr>
          <w:rFonts w:ascii="Arial" w:hAnsi="Arial" w:cs="Arial"/>
          <w:b/>
          <w:sz w:val="24"/>
          <w:szCs w:val="24"/>
        </w:rPr>
        <w:t>35,338 sq m</w:t>
      </w:r>
      <w:r w:rsidRPr="009C3CAF">
        <w:rPr>
          <w:rFonts w:ascii="Arial" w:hAnsi="Arial" w:cs="Arial"/>
          <w:sz w:val="24"/>
          <w:szCs w:val="24"/>
        </w:rPr>
        <w:t xml:space="preserve">.  This has been buoyed by speculative build brought forward at South Rings and Preston East as market demand for smaller units remains strong.     </w:t>
      </w:r>
    </w:p>
    <w:p w:rsidR="007241EE" w:rsidRPr="009C3CAF" w:rsidRDefault="007241EE" w:rsidP="007241EE">
      <w:pPr>
        <w:rPr>
          <w:rFonts w:ascii="Arial" w:hAnsi="Arial" w:cs="Arial"/>
          <w:sz w:val="24"/>
          <w:szCs w:val="24"/>
        </w:rPr>
      </w:pPr>
      <w:r w:rsidRPr="009C3CAF">
        <w:rPr>
          <w:rFonts w:ascii="Arial" w:hAnsi="Arial" w:cs="Arial"/>
          <w:sz w:val="24"/>
          <w:szCs w:val="24"/>
        </w:rPr>
        <w:t xml:space="preserve">  </w:t>
      </w:r>
    </w:p>
    <w:p w:rsidR="007241EE" w:rsidRDefault="007241EE" w:rsidP="007241EE">
      <w:pPr>
        <w:rPr>
          <w:rFonts w:ascii="Arial" w:hAnsi="Arial" w:cs="Arial"/>
          <w:sz w:val="24"/>
          <w:szCs w:val="24"/>
        </w:rPr>
      </w:pPr>
      <w:r w:rsidRPr="009C3CAF">
        <w:rPr>
          <w:rFonts w:ascii="Arial" w:hAnsi="Arial" w:cs="Arial"/>
          <w:sz w:val="24"/>
          <w:szCs w:val="24"/>
        </w:rPr>
        <w:t xml:space="preserve">With regard to planning submissions in year 3, </w:t>
      </w:r>
      <w:r w:rsidRPr="009C3CAF">
        <w:rPr>
          <w:rFonts w:ascii="Arial" w:hAnsi="Arial" w:cs="Arial"/>
          <w:b/>
          <w:sz w:val="24"/>
          <w:szCs w:val="24"/>
        </w:rPr>
        <w:t>222,362</w:t>
      </w:r>
      <w:r w:rsidRPr="009C3CAF">
        <w:rPr>
          <w:rFonts w:ascii="Arial" w:hAnsi="Arial" w:cs="Arial"/>
          <w:b/>
          <w:color w:val="FF0000"/>
          <w:sz w:val="24"/>
          <w:szCs w:val="24"/>
        </w:rPr>
        <w:t xml:space="preserve"> </w:t>
      </w:r>
      <w:r w:rsidRPr="009C3CAF">
        <w:rPr>
          <w:rFonts w:ascii="Arial" w:hAnsi="Arial" w:cs="Arial"/>
          <w:b/>
          <w:sz w:val="24"/>
          <w:szCs w:val="24"/>
        </w:rPr>
        <w:t>sq m</w:t>
      </w:r>
      <w:r w:rsidRPr="009C3CAF">
        <w:rPr>
          <w:rFonts w:ascii="Arial" w:hAnsi="Arial" w:cs="Arial"/>
          <w:sz w:val="24"/>
          <w:szCs w:val="24"/>
        </w:rPr>
        <w:t xml:space="preserve"> of commercial floorspace was </w:t>
      </w:r>
      <w:r w:rsidRPr="009C3CAF">
        <w:rPr>
          <w:rFonts w:ascii="Arial" w:hAnsi="Arial" w:cs="Arial"/>
          <w:b/>
          <w:sz w:val="24"/>
          <w:szCs w:val="24"/>
        </w:rPr>
        <w:t>submitted</w:t>
      </w:r>
      <w:r w:rsidRPr="009C3CAF">
        <w:rPr>
          <w:rFonts w:ascii="Arial" w:hAnsi="Arial" w:cs="Arial"/>
          <w:sz w:val="24"/>
          <w:szCs w:val="24"/>
        </w:rPr>
        <w:t xml:space="preserve"> for planning compared with the target of </w:t>
      </w:r>
      <w:r w:rsidRPr="009C3CAF">
        <w:rPr>
          <w:rFonts w:ascii="Arial" w:hAnsi="Arial" w:cs="Arial"/>
          <w:b/>
          <w:sz w:val="24"/>
          <w:szCs w:val="24"/>
        </w:rPr>
        <w:t>250,275 sq m</w:t>
      </w:r>
      <w:r w:rsidRPr="009C3CAF">
        <w:rPr>
          <w:rFonts w:ascii="Arial" w:hAnsi="Arial" w:cs="Arial"/>
          <w:sz w:val="24"/>
          <w:szCs w:val="24"/>
        </w:rPr>
        <w:t xml:space="preserve"> and </w:t>
      </w:r>
      <w:r w:rsidRPr="009C3CAF">
        <w:rPr>
          <w:rFonts w:ascii="Arial" w:hAnsi="Arial" w:cs="Arial"/>
          <w:b/>
          <w:sz w:val="24"/>
          <w:szCs w:val="24"/>
        </w:rPr>
        <w:t>20,333 sq m</w:t>
      </w:r>
      <w:r w:rsidRPr="009C3CAF">
        <w:rPr>
          <w:rFonts w:ascii="Arial" w:hAnsi="Arial" w:cs="Arial"/>
          <w:sz w:val="24"/>
          <w:szCs w:val="24"/>
        </w:rPr>
        <w:t xml:space="preserve"> of commercial floorspace </w:t>
      </w:r>
      <w:r>
        <w:rPr>
          <w:rFonts w:ascii="Arial" w:hAnsi="Arial" w:cs="Arial"/>
          <w:sz w:val="24"/>
          <w:szCs w:val="24"/>
        </w:rPr>
        <w:t xml:space="preserve">was </w:t>
      </w:r>
      <w:r w:rsidRPr="009C3CAF">
        <w:rPr>
          <w:rFonts w:ascii="Arial" w:hAnsi="Arial" w:cs="Arial"/>
          <w:b/>
          <w:sz w:val="24"/>
          <w:szCs w:val="24"/>
        </w:rPr>
        <w:t>consented</w:t>
      </w:r>
      <w:r w:rsidRPr="009C3CAF">
        <w:rPr>
          <w:rFonts w:ascii="Arial" w:hAnsi="Arial" w:cs="Arial"/>
          <w:sz w:val="24"/>
          <w:szCs w:val="24"/>
        </w:rPr>
        <w:t xml:space="preserve"> for planning compared with the target of </w:t>
      </w:r>
      <w:r w:rsidRPr="009C3CAF">
        <w:rPr>
          <w:rFonts w:ascii="Arial" w:hAnsi="Arial" w:cs="Arial"/>
          <w:b/>
          <w:sz w:val="24"/>
          <w:szCs w:val="24"/>
        </w:rPr>
        <w:t>256,275 sq m.</w:t>
      </w:r>
      <w:r w:rsidRPr="009C3CAF">
        <w:rPr>
          <w:rFonts w:ascii="Arial" w:hAnsi="Arial" w:cs="Arial"/>
          <w:sz w:val="24"/>
          <w:szCs w:val="24"/>
        </w:rPr>
        <w:t xml:space="preserve">  </w:t>
      </w:r>
    </w:p>
    <w:p w:rsidR="00DA1650" w:rsidRPr="009C3CAF" w:rsidRDefault="00DA1650" w:rsidP="007241EE">
      <w:pPr>
        <w:rPr>
          <w:rFonts w:ascii="Arial" w:hAnsi="Arial" w:cs="Arial"/>
          <w:sz w:val="24"/>
          <w:szCs w:val="24"/>
        </w:rPr>
      </w:pPr>
    </w:p>
    <w:p w:rsidR="007241EE" w:rsidRDefault="007241EE" w:rsidP="007241EE">
      <w:pPr>
        <w:rPr>
          <w:rFonts w:ascii="Arial" w:hAnsi="Arial" w:cs="Arial"/>
          <w:sz w:val="24"/>
          <w:szCs w:val="24"/>
        </w:rPr>
      </w:pPr>
      <w:r w:rsidRPr="009C3CAF">
        <w:rPr>
          <w:rFonts w:ascii="Arial" w:hAnsi="Arial" w:cs="Arial"/>
          <w:sz w:val="24"/>
          <w:szCs w:val="24"/>
        </w:rPr>
        <w:lastRenderedPageBreak/>
        <w:t xml:space="preserve">These lower than target figures for planning submissions can be attributed </w:t>
      </w:r>
      <w:r>
        <w:rPr>
          <w:rFonts w:ascii="Arial" w:hAnsi="Arial" w:cs="Arial"/>
          <w:sz w:val="24"/>
          <w:szCs w:val="24"/>
        </w:rPr>
        <w:t>primarily</w:t>
      </w:r>
      <w:r w:rsidRPr="009C3CAF">
        <w:rPr>
          <w:rFonts w:ascii="Arial" w:hAnsi="Arial" w:cs="Arial"/>
          <w:sz w:val="24"/>
          <w:szCs w:val="24"/>
        </w:rPr>
        <w:t xml:space="preserve"> to delays experienced with the following sites:</w:t>
      </w:r>
    </w:p>
    <w:p w:rsidR="00DA1650" w:rsidRPr="009C3CAF" w:rsidRDefault="00DA1650" w:rsidP="007241EE">
      <w:pPr>
        <w:rPr>
          <w:rFonts w:ascii="Arial" w:hAnsi="Arial" w:cs="Arial"/>
          <w:sz w:val="24"/>
          <w:szCs w:val="24"/>
        </w:rPr>
      </w:pPr>
    </w:p>
    <w:p w:rsidR="007241EE" w:rsidRPr="00257D33" w:rsidRDefault="007241EE" w:rsidP="007241EE">
      <w:pPr>
        <w:pStyle w:val="ListParagraph"/>
        <w:numPr>
          <w:ilvl w:val="0"/>
          <w:numId w:val="21"/>
        </w:numPr>
        <w:spacing w:after="160" w:line="259" w:lineRule="auto"/>
        <w:rPr>
          <w:rFonts w:ascii="Arial" w:hAnsi="Arial" w:cs="Arial"/>
          <w:sz w:val="24"/>
          <w:szCs w:val="24"/>
        </w:rPr>
      </w:pPr>
      <w:r w:rsidRPr="00257D33">
        <w:rPr>
          <w:rFonts w:ascii="Arial" w:hAnsi="Arial" w:cs="Arial"/>
          <w:sz w:val="24"/>
          <w:szCs w:val="24"/>
        </w:rPr>
        <w:t>Cottam Brickworks – the conditional sale of the land has not progressed, partly as a result of the failure to sign up an anchor store tenant due to market forces.</w:t>
      </w:r>
    </w:p>
    <w:p w:rsidR="007241EE" w:rsidRPr="00257D33" w:rsidRDefault="007241EE" w:rsidP="007241EE">
      <w:pPr>
        <w:pStyle w:val="ListParagraph"/>
        <w:numPr>
          <w:ilvl w:val="0"/>
          <w:numId w:val="21"/>
        </w:numPr>
        <w:spacing w:after="160" w:line="259" w:lineRule="auto"/>
        <w:rPr>
          <w:rFonts w:ascii="Arial" w:hAnsi="Arial" w:cs="Arial"/>
          <w:sz w:val="24"/>
          <w:szCs w:val="24"/>
        </w:rPr>
      </w:pPr>
      <w:r w:rsidRPr="00257D33">
        <w:rPr>
          <w:rFonts w:ascii="Arial" w:hAnsi="Arial" w:cs="Arial"/>
          <w:sz w:val="24"/>
          <w:szCs w:val="24"/>
        </w:rPr>
        <w:t xml:space="preserve">An employment site at Bluebell Way is progressing more slowly than anticipated, but following a disposal a planning application is anticipated in Q2 2017/18. </w:t>
      </w:r>
    </w:p>
    <w:p w:rsidR="007241EE" w:rsidRPr="00257D33" w:rsidRDefault="007241EE" w:rsidP="007241EE">
      <w:pPr>
        <w:pStyle w:val="ListParagraph"/>
        <w:numPr>
          <w:ilvl w:val="0"/>
          <w:numId w:val="21"/>
        </w:numPr>
        <w:spacing w:after="160" w:line="259" w:lineRule="auto"/>
        <w:rPr>
          <w:rFonts w:ascii="Arial" w:hAnsi="Arial" w:cs="Arial"/>
          <w:sz w:val="24"/>
          <w:szCs w:val="24"/>
        </w:rPr>
      </w:pPr>
      <w:r w:rsidRPr="00257D33">
        <w:rPr>
          <w:rFonts w:ascii="Arial" w:hAnsi="Arial" w:cs="Arial"/>
          <w:sz w:val="24"/>
          <w:szCs w:val="24"/>
        </w:rPr>
        <w:t xml:space="preserve">The Altus site on Ringway, Preston City Centre, is being actively marketed but has not led to any firm offers, and will most likely need an uplift in the market to enable viable development to come forward. Project milestones will be updated to reflect the market position.       </w:t>
      </w:r>
    </w:p>
    <w:p w:rsidR="007241EE" w:rsidRDefault="007241EE" w:rsidP="00DA1650">
      <w:pPr>
        <w:rPr>
          <w:rFonts w:ascii="Arial" w:hAnsi="Arial" w:cs="Arial"/>
          <w:sz w:val="24"/>
          <w:szCs w:val="24"/>
        </w:rPr>
      </w:pPr>
      <w:r w:rsidRPr="009C3CAF">
        <w:rPr>
          <w:rFonts w:ascii="Arial" w:hAnsi="Arial" w:cs="Arial"/>
          <w:sz w:val="24"/>
          <w:szCs w:val="24"/>
        </w:rPr>
        <w:t>Cumulative performance in relation to planning submissions is lower than forecast</w:t>
      </w:r>
      <w:r>
        <w:rPr>
          <w:rFonts w:ascii="Arial" w:hAnsi="Arial" w:cs="Arial"/>
          <w:sz w:val="24"/>
          <w:szCs w:val="24"/>
        </w:rPr>
        <w:t xml:space="preserve">, </w:t>
      </w:r>
      <w:r w:rsidRPr="009C3CAF">
        <w:rPr>
          <w:rFonts w:ascii="Arial" w:hAnsi="Arial" w:cs="Arial"/>
          <w:sz w:val="24"/>
          <w:szCs w:val="24"/>
        </w:rPr>
        <w:t xml:space="preserve"> which is mainly </w:t>
      </w:r>
      <w:r>
        <w:rPr>
          <w:rFonts w:ascii="Arial" w:hAnsi="Arial" w:cs="Arial"/>
          <w:sz w:val="24"/>
          <w:szCs w:val="24"/>
        </w:rPr>
        <w:t>attributed</w:t>
      </w:r>
      <w:r w:rsidRPr="009C3CAF">
        <w:rPr>
          <w:rFonts w:ascii="Arial" w:hAnsi="Arial" w:cs="Arial"/>
          <w:sz w:val="24"/>
          <w:szCs w:val="24"/>
        </w:rPr>
        <w:t xml:space="preserve"> to large employment and city centre sites not coming forward as quickly as anticipated due to masterplanning requirements and delivery phasing. </w:t>
      </w:r>
    </w:p>
    <w:p w:rsidR="00DA1650" w:rsidRPr="009C3CAF" w:rsidRDefault="00DA1650" w:rsidP="00DA1650">
      <w:pPr>
        <w:rPr>
          <w:rFonts w:ascii="Arial" w:hAnsi="Arial" w:cs="Arial"/>
          <w:sz w:val="24"/>
          <w:szCs w:val="24"/>
        </w:rPr>
      </w:pPr>
    </w:p>
    <w:p w:rsidR="007241EE" w:rsidRDefault="00DA1650" w:rsidP="007241EE">
      <w:pPr>
        <w:rPr>
          <w:rFonts w:ascii="Arial" w:hAnsi="Arial" w:cs="Arial"/>
          <w:b/>
          <w:sz w:val="24"/>
          <w:szCs w:val="24"/>
        </w:rPr>
      </w:pPr>
      <w:r>
        <w:rPr>
          <w:rFonts w:ascii="Arial" w:hAnsi="Arial" w:cs="Arial"/>
          <w:b/>
          <w:sz w:val="24"/>
          <w:szCs w:val="24"/>
        </w:rPr>
        <w:t>With regards planning consents;</w:t>
      </w:r>
    </w:p>
    <w:p w:rsidR="00DA1650" w:rsidRDefault="00DA1650" w:rsidP="00DA1650">
      <w:pPr>
        <w:rPr>
          <w:rFonts w:ascii="Arial" w:hAnsi="Arial" w:cs="Arial"/>
          <w:b/>
          <w:sz w:val="24"/>
          <w:szCs w:val="24"/>
        </w:rPr>
      </w:pPr>
    </w:p>
    <w:p w:rsidR="007241EE" w:rsidRPr="009C3CAF" w:rsidRDefault="007241EE" w:rsidP="00DA1650">
      <w:pPr>
        <w:rPr>
          <w:rFonts w:ascii="Arial" w:hAnsi="Arial" w:cs="Arial"/>
          <w:sz w:val="24"/>
          <w:szCs w:val="24"/>
        </w:rPr>
      </w:pPr>
      <w:r w:rsidRPr="009C3CAF">
        <w:rPr>
          <w:rFonts w:ascii="Arial" w:hAnsi="Arial" w:cs="Arial"/>
          <w:sz w:val="24"/>
          <w:szCs w:val="24"/>
        </w:rPr>
        <w:t xml:space="preserve">Over half of the underperformance is within Cuerden Strategic site and Preston East -Sector D sites which are seeking approval in Q1 2017/18. </w:t>
      </w:r>
    </w:p>
    <w:p w:rsidR="00DA1650" w:rsidRDefault="00DA1650" w:rsidP="00DA1650">
      <w:pPr>
        <w:rPr>
          <w:rFonts w:ascii="Arial" w:hAnsi="Arial" w:cs="Arial"/>
          <w:sz w:val="24"/>
          <w:szCs w:val="24"/>
        </w:rPr>
      </w:pPr>
    </w:p>
    <w:p w:rsidR="007241EE" w:rsidRPr="009C3CAF" w:rsidRDefault="007241EE" w:rsidP="00DA1650">
      <w:pPr>
        <w:rPr>
          <w:rFonts w:ascii="Arial" w:hAnsi="Arial" w:cs="Arial"/>
          <w:sz w:val="24"/>
          <w:szCs w:val="24"/>
        </w:rPr>
      </w:pPr>
      <w:r w:rsidRPr="009C3CAF">
        <w:rPr>
          <w:rFonts w:ascii="Arial" w:hAnsi="Arial" w:cs="Arial"/>
          <w:sz w:val="24"/>
          <w:szCs w:val="24"/>
        </w:rPr>
        <w:t xml:space="preserve">Market demand has affected the progress of the development of the supermarket at Cop Lane, but a planning application is expected to be determined in Q2 2017/18.   </w:t>
      </w:r>
    </w:p>
    <w:p w:rsidR="00DA1650" w:rsidRDefault="00DA1650" w:rsidP="00DA1650">
      <w:pPr>
        <w:rPr>
          <w:rFonts w:ascii="Arial" w:hAnsi="Arial" w:cs="Arial"/>
          <w:sz w:val="24"/>
          <w:szCs w:val="24"/>
        </w:rPr>
      </w:pPr>
    </w:p>
    <w:p w:rsidR="007241EE" w:rsidRDefault="007241EE" w:rsidP="00DA1650">
      <w:pPr>
        <w:rPr>
          <w:rFonts w:ascii="Arial" w:hAnsi="Arial" w:cs="Arial"/>
          <w:sz w:val="24"/>
          <w:szCs w:val="24"/>
        </w:rPr>
      </w:pPr>
      <w:r w:rsidRPr="009C3CAF">
        <w:rPr>
          <w:rFonts w:ascii="Arial" w:hAnsi="Arial" w:cs="Arial"/>
          <w:sz w:val="24"/>
          <w:szCs w:val="24"/>
        </w:rPr>
        <w:t>The majority of the remainder is linked to large scale developments that have had their milestones shifted back within the programme to reflect the anticipated build out schedule (Preston East/Red Scar).</w:t>
      </w:r>
    </w:p>
    <w:p w:rsidR="00DA1650" w:rsidRDefault="00DA1650" w:rsidP="00DA1650">
      <w:pPr>
        <w:rPr>
          <w:rFonts w:ascii="Arial" w:hAnsi="Arial" w:cs="Arial"/>
          <w:sz w:val="24"/>
          <w:szCs w:val="24"/>
        </w:rPr>
      </w:pPr>
    </w:p>
    <w:p w:rsidR="007241EE" w:rsidRDefault="007241EE" w:rsidP="00DA1650">
      <w:pPr>
        <w:rPr>
          <w:rFonts w:ascii="Arial" w:hAnsi="Arial" w:cs="Arial"/>
          <w:sz w:val="24"/>
          <w:szCs w:val="24"/>
        </w:rPr>
      </w:pPr>
      <w:r>
        <w:rPr>
          <w:rFonts w:ascii="Arial" w:hAnsi="Arial" w:cs="Arial"/>
          <w:sz w:val="24"/>
          <w:szCs w:val="24"/>
        </w:rPr>
        <w:t>A breakdown of the commercial sites targets and outputs is outlined in table 3 below:</w:t>
      </w:r>
    </w:p>
    <w:p w:rsidR="00DA1650" w:rsidRDefault="00DA1650" w:rsidP="00DA1650">
      <w:pPr>
        <w:rPr>
          <w:rFonts w:ascii="Arial" w:hAnsi="Arial" w:cs="Arial"/>
          <w:b/>
          <w:sz w:val="24"/>
          <w:szCs w:val="24"/>
        </w:rPr>
      </w:pPr>
    </w:p>
    <w:p w:rsidR="007241EE" w:rsidRDefault="007241EE" w:rsidP="00DA1650">
      <w:pPr>
        <w:rPr>
          <w:rFonts w:ascii="Arial" w:hAnsi="Arial" w:cs="Arial"/>
          <w:b/>
          <w:sz w:val="24"/>
          <w:szCs w:val="24"/>
        </w:rPr>
      </w:pPr>
      <w:r>
        <w:rPr>
          <w:rFonts w:ascii="Arial" w:hAnsi="Arial" w:cs="Arial"/>
          <w:b/>
          <w:sz w:val="24"/>
          <w:szCs w:val="24"/>
        </w:rPr>
        <w:t>Table 3:  commercial floor space – core and supporting outputs</w:t>
      </w:r>
    </w:p>
    <w:p w:rsidR="007241EE" w:rsidRDefault="007241EE" w:rsidP="007241EE">
      <w:pPr>
        <w:ind w:left="284"/>
        <w:rPr>
          <w:rFonts w:ascii="Arial" w:hAnsi="Arial" w:cs="Arial"/>
          <w:b/>
          <w:sz w:val="24"/>
          <w:szCs w:val="24"/>
        </w:rPr>
      </w:pPr>
    </w:p>
    <w:tbl>
      <w:tblPr>
        <w:tblStyle w:val="TableGrid1"/>
        <w:tblW w:w="4233" w:type="pct"/>
        <w:tblLayout w:type="fixed"/>
        <w:tblLook w:val="04A0" w:firstRow="1" w:lastRow="0" w:firstColumn="1" w:lastColumn="0" w:noHBand="0" w:noVBand="1"/>
      </w:tblPr>
      <w:tblGrid>
        <w:gridCol w:w="2101"/>
        <w:gridCol w:w="1383"/>
        <w:gridCol w:w="1383"/>
        <w:gridCol w:w="1224"/>
        <w:gridCol w:w="1542"/>
      </w:tblGrid>
      <w:tr w:rsidR="007241EE" w:rsidTr="008F32CB">
        <w:tc>
          <w:tcPr>
            <w:tcW w:w="2101"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b/>
                <w:sz w:val="24"/>
                <w:szCs w:val="24"/>
              </w:rPr>
            </w:pPr>
            <w:r>
              <w:rPr>
                <w:rFonts w:ascii="Arial" w:hAnsi="Arial" w:cs="Arial"/>
                <w:b/>
                <w:sz w:val="24"/>
                <w:szCs w:val="24"/>
              </w:rPr>
              <w:t>Core  and supporting outputs</w:t>
            </w:r>
          </w:p>
        </w:tc>
        <w:tc>
          <w:tcPr>
            <w:tcW w:w="1383"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b/>
                <w:sz w:val="24"/>
                <w:szCs w:val="24"/>
              </w:rPr>
            </w:pPr>
            <w:r>
              <w:rPr>
                <w:rFonts w:ascii="Arial" w:hAnsi="Arial" w:cs="Arial"/>
                <w:b/>
                <w:sz w:val="24"/>
                <w:szCs w:val="24"/>
              </w:rPr>
              <w:t xml:space="preserve">16/17 Trajectory </w:t>
            </w:r>
          </w:p>
          <w:p w:rsidR="007241EE" w:rsidRDefault="007241EE" w:rsidP="008F32CB">
            <w:pPr>
              <w:jc w:val="center"/>
              <w:rPr>
                <w:rFonts w:ascii="Arial" w:hAnsi="Arial" w:cs="Arial"/>
                <w:b/>
                <w:sz w:val="24"/>
                <w:szCs w:val="24"/>
              </w:rPr>
            </w:pPr>
            <w:r>
              <w:rPr>
                <w:rFonts w:ascii="Arial" w:hAnsi="Arial" w:cs="Arial"/>
                <w:b/>
                <w:sz w:val="24"/>
                <w:szCs w:val="24"/>
              </w:rPr>
              <w:t>(sq m)</w:t>
            </w:r>
          </w:p>
        </w:tc>
        <w:tc>
          <w:tcPr>
            <w:tcW w:w="1383"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b/>
                <w:sz w:val="24"/>
                <w:szCs w:val="24"/>
              </w:rPr>
            </w:pPr>
            <w:r>
              <w:rPr>
                <w:rFonts w:ascii="Arial" w:hAnsi="Arial" w:cs="Arial"/>
                <w:b/>
                <w:sz w:val="24"/>
                <w:szCs w:val="24"/>
              </w:rPr>
              <w:t>16/17 Actual</w:t>
            </w:r>
          </w:p>
          <w:p w:rsidR="007241EE" w:rsidRDefault="007241EE" w:rsidP="008F32CB">
            <w:pPr>
              <w:jc w:val="center"/>
              <w:rPr>
                <w:rFonts w:ascii="Arial" w:hAnsi="Arial" w:cs="Arial"/>
                <w:b/>
                <w:sz w:val="24"/>
                <w:szCs w:val="24"/>
              </w:rPr>
            </w:pPr>
            <w:r>
              <w:rPr>
                <w:rFonts w:ascii="Arial" w:hAnsi="Arial" w:cs="Arial"/>
                <w:b/>
                <w:sz w:val="24"/>
                <w:szCs w:val="24"/>
              </w:rPr>
              <w:t>(sq m)</w:t>
            </w:r>
          </w:p>
        </w:tc>
        <w:tc>
          <w:tcPr>
            <w:tcW w:w="1224" w:type="dxa"/>
            <w:tcBorders>
              <w:top w:val="single" w:sz="4" w:space="0" w:color="auto"/>
              <w:left w:val="single" w:sz="4" w:space="0" w:color="auto"/>
              <w:bottom w:val="single" w:sz="4" w:space="0" w:color="auto"/>
              <w:right w:val="single" w:sz="4" w:space="0" w:color="auto"/>
            </w:tcBorders>
          </w:tcPr>
          <w:p w:rsidR="007241EE" w:rsidRDefault="007241EE" w:rsidP="008F32CB">
            <w:pPr>
              <w:jc w:val="center"/>
              <w:rPr>
                <w:rFonts w:ascii="Arial" w:hAnsi="Arial" w:cs="Arial"/>
                <w:b/>
                <w:sz w:val="24"/>
                <w:szCs w:val="24"/>
              </w:rPr>
            </w:pPr>
            <w:r>
              <w:rPr>
                <w:rFonts w:ascii="Arial" w:hAnsi="Arial" w:cs="Arial"/>
                <w:b/>
                <w:sz w:val="24"/>
                <w:szCs w:val="24"/>
              </w:rPr>
              <w:t>16/17 variance</w:t>
            </w:r>
          </w:p>
        </w:tc>
        <w:tc>
          <w:tcPr>
            <w:tcW w:w="1542"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b/>
                <w:sz w:val="24"/>
                <w:szCs w:val="24"/>
              </w:rPr>
            </w:pPr>
            <w:r>
              <w:rPr>
                <w:rFonts w:ascii="Arial" w:hAnsi="Arial" w:cs="Arial"/>
                <w:b/>
                <w:sz w:val="24"/>
                <w:szCs w:val="24"/>
              </w:rPr>
              <w:t xml:space="preserve">  All Years Cumulative Variance </w:t>
            </w:r>
          </w:p>
        </w:tc>
      </w:tr>
      <w:tr w:rsidR="007241EE" w:rsidTr="008F32CB">
        <w:tc>
          <w:tcPr>
            <w:tcW w:w="2101" w:type="dxa"/>
            <w:tcBorders>
              <w:top w:val="single" w:sz="4" w:space="0" w:color="auto"/>
              <w:left w:val="single" w:sz="4" w:space="0" w:color="auto"/>
              <w:bottom w:val="single" w:sz="4" w:space="0" w:color="auto"/>
              <w:right w:val="single" w:sz="4" w:space="0" w:color="auto"/>
            </w:tcBorders>
          </w:tcPr>
          <w:p w:rsidR="007241EE" w:rsidRDefault="007241EE" w:rsidP="008F32CB">
            <w:pPr>
              <w:rPr>
                <w:rFonts w:ascii="Arial" w:hAnsi="Arial" w:cs="Arial"/>
                <w:sz w:val="24"/>
                <w:szCs w:val="24"/>
              </w:rPr>
            </w:pPr>
            <w:r>
              <w:rPr>
                <w:rFonts w:ascii="Arial" w:hAnsi="Arial" w:cs="Arial"/>
                <w:sz w:val="24"/>
                <w:szCs w:val="24"/>
              </w:rPr>
              <w:t>Commercial floorspace consented for planning  (sq m)</w:t>
            </w:r>
          </w:p>
          <w:p w:rsidR="007241EE" w:rsidRDefault="007241EE" w:rsidP="008F32CB">
            <w:pPr>
              <w:rPr>
                <w:rFonts w:ascii="Arial" w:hAnsi="Arial" w:cs="Arial"/>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sz w:val="24"/>
                <w:szCs w:val="24"/>
              </w:rPr>
              <w:t>256,275</w:t>
            </w:r>
          </w:p>
        </w:tc>
        <w:tc>
          <w:tcPr>
            <w:tcW w:w="1383"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sz w:val="24"/>
                <w:szCs w:val="24"/>
              </w:rPr>
              <w:t>20,333</w:t>
            </w:r>
          </w:p>
        </w:tc>
        <w:tc>
          <w:tcPr>
            <w:tcW w:w="1224" w:type="dxa"/>
            <w:tcBorders>
              <w:top w:val="single" w:sz="4" w:space="0" w:color="auto"/>
              <w:left w:val="single" w:sz="4" w:space="0" w:color="auto"/>
              <w:bottom w:val="single" w:sz="4" w:space="0" w:color="auto"/>
              <w:right w:val="single" w:sz="4" w:space="0" w:color="auto"/>
            </w:tcBorders>
          </w:tcPr>
          <w:p w:rsidR="007241EE" w:rsidRDefault="007241EE" w:rsidP="008F32CB">
            <w:pPr>
              <w:jc w:val="center"/>
              <w:rPr>
                <w:rFonts w:ascii="Arial" w:hAnsi="Arial" w:cs="Arial"/>
                <w:sz w:val="24"/>
                <w:szCs w:val="24"/>
              </w:rPr>
            </w:pPr>
            <w:r>
              <w:rPr>
                <w:rFonts w:ascii="Arial" w:hAnsi="Arial" w:cs="Arial"/>
                <w:sz w:val="24"/>
                <w:szCs w:val="24"/>
              </w:rPr>
              <w:t>-235,942</w:t>
            </w:r>
          </w:p>
        </w:tc>
        <w:tc>
          <w:tcPr>
            <w:tcW w:w="1542" w:type="dxa"/>
            <w:tcBorders>
              <w:top w:val="single" w:sz="4" w:space="0" w:color="auto"/>
              <w:left w:val="single" w:sz="4" w:space="0" w:color="auto"/>
              <w:bottom w:val="single" w:sz="4" w:space="0" w:color="auto"/>
              <w:right w:val="single" w:sz="4" w:space="0" w:color="auto"/>
            </w:tcBorders>
          </w:tcPr>
          <w:p w:rsidR="007241EE" w:rsidRDefault="007241EE" w:rsidP="008F32CB">
            <w:pPr>
              <w:jc w:val="center"/>
              <w:rPr>
                <w:rFonts w:ascii="Arial" w:hAnsi="Arial" w:cs="Arial"/>
                <w:sz w:val="24"/>
                <w:szCs w:val="24"/>
              </w:rPr>
            </w:pPr>
            <w:r>
              <w:rPr>
                <w:rFonts w:ascii="Arial" w:hAnsi="Arial" w:cs="Arial"/>
                <w:sz w:val="24"/>
                <w:szCs w:val="24"/>
              </w:rPr>
              <w:t>-336,946</w:t>
            </w:r>
          </w:p>
          <w:p w:rsidR="007241EE" w:rsidRDefault="007241EE" w:rsidP="008F32CB">
            <w:pPr>
              <w:rPr>
                <w:rFonts w:ascii="Arial" w:hAnsi="Arial" w:cs="Arial"/>
                <w:sz w:val="24"/>
                <w:szCs w:val="24"/>
                <w:highlight w:val="cyan"/>
              </w:rPr>
            </w:pPr>
          </w:p>
        </w:tc>
      </w:tr>
      <w:tr w:rsidR="007241EE" w:rsidTr="008F32CB">
        <w:tc>
          <w:tcPr>
            <w:tcW w:w="2101" w:type="dxa"/>
            <w:tcBorders>
              <w:top w:val="single" w:sz="4" w:space="0" w:color="auto"/>
              <w:left w:val="single" w:sz="4" w:space="0" w:color="auto"/>
              <w:bottom w:val="single" w:sz="4" w:space="0" w:color="auto"/>
              <w:right w:val="single" w:sz="4" w:space="0" w:color="auto"/>
            </w:tcBorders>
          </w:tcPr>
          <w:p w:rsidR="007241EE" w:rsidRDefault="007241EE" w:rsidP="008F32CB">
            <w:pPr>
              <w:rPr>
                <w:rFonts w:ascii="Arial" w:hAnsi="Arial" w:cs="Arial"/>
                <w:sz w:val="24"/>
                <w:szCs w:val="24"/>
              </w:rPr>
            </w:pPr>
            <w:r>
              <w:rPr>
                <w:rFonts w:ascii="Arial" w:hAnsi="Arial" w:cs="Arial"/>
                <w:sz w:val="24"/>
                <w:szCs w:val="24"/>
              </w:rPr>
              <w:t>Commercial floorspace completed (sq m)</w:t>
            </w:r>
          </w:p>
          <w:p w:rsidR="007241EE" w:rsidRDefault="007241EE" w:rsidP="008F32CB">
            <w:pPr>
              <w:rPr>
                <w:rFonts w:ascii="Arial" w:hAnsi="Arial" w:cs="Arial"/>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rPr>
              <w:t>27,255</w:t>
            </w:r>
          </w:p>
        </w:tc>
        <w:tc>
          <w:tcPr>
            <w:tcW w:w="1383"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sz w:val="24"/>
                <w:szCs w:val="24"/>
              </w:rPr>
              <w:t>36,292</w:t>
            </w:r>
          </w:p>
        </w:tc>
        <w:tc>
          <w:tcPr>
            <w:tcW w:w="1224" w:type="dxa"/>
            <w:tcBorders>
              <w:top w:val="single" w:sz="4" w:space="0" w:color="auto"/>
              <w:left w:val="single" w:sz="4" w:space="0" w:color="auto"/>
              <w:bottom w:val="single" w:sz="4" w:space="0" w:color="auto"/>
              <w:right w:val="single" w:sz="4" w:space="0" w:color="auto"/>
            </w:tcBorders>
          </w:tcPr>
          <w:p w:rsidR="007241EE" w:rsidRDefault="007241EE" w:rsidP="008F32CB">
            <w:pPr>
              <w:jc w:val="center"/>
              <w:rPr>
                <w:rFonts w:ascii="Arial" w:hAnsi="Arial" w:cs="Arial"/>
                <w:sz w:val="24"/>
                <w:szCs w:val="24"/>
              </w:rPr>
            </w:pPr>
            <w:r>
              <w:rPr>
                <w:rFonts w:ascii="Arial" w:hAnsi="Arial" w:cs="Arial"/>
                <w:sz w:val="24"/>
                <w:szCs w:val="24"/>
              </w:rPr>
              <w:t>+9,037</w:t>
            </w:r>
          </w:p>
        </w:tc>
        <w:tc>
          <w:tcPr>
            <w:tcW w:w="1542"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sz w:val="24"/>
                <w:szCs w:val="24"/>
              </w:rPr>
              <w:t>+10,619</w:t>
            </w:r>
          </w:p>
        </w:tc>
      </w:tr>
      <w:tr w:rsidR="007241EE" w:rsidTr="008F32CB">
        <w:tc>
          <w:tcPr>
            <w:tcW w:w="2101"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4"/>
                <w:szCs w:val="24"/>
              </w:rPr>
            </w:pPr>
            <w:r>
              <w:rPr>
                <w:rFonts w:ascii="Arial" w:hAnsi="Arial" w:cs="Arial"/>
                <w:sz w:val="24"/>
                <w:szCs w:val="24"/>
              </w:rPr>
              <w:lastRenderedPageBreak/>
              <w:t>Commercial floorspace submitted for planning</w:t>
            </w:r>
          </w:p>
        </w:tc>
        <w:tc>
          <w:tcPr>
            <w:tcW w:w="1383"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sz w:val="24"/>
                <w:szCs w:val="24"/>
              </w:rPr>
              <w:t>250,275</w:t>
            </w:r>
          </w:p>
        </w:tc>
        <w:tc>
          <w:tcPr>
            <w:tcW w:w="1383"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sz w:val="24"/>
                <w:szCs w:val="24"/>
              </w:rPr>
              <w:t>222,362</w:t>
            </w:r>
          </w:p>
        </w:tc>
        <w:tc>
          <w:tcPr>
            <w:tcW w:w="1224" w:type="dxa"/>
            <w:tcBorders>
              <w:top w:val="single" w:sz="4" w:space="0" w:color="auto"/>
              <w:left w:val="single" w:sz="4" w:space="0" w:color="auto"/>
              <w:bottom w:val="single" w:sz="4" w:space="0" w:color="auto"/>
              <w:right w:val="single" w:sz="4" w:space="0" w:color="auto"/>
            </w:tcBorders>
          </w:tcPr>
          <w:p w:rsidR="007241EE" w:rsidRDefault="007241EE" w:rsidP="008F32CB">
            <w:pPr>
              <w:jc w:val="center"/>
              <w:rPr>
                <w:rFonts w:ascii="Arial" w:hAnsi="Arial" w:cs="Arial"/>
                <w:sz w:val="24"/>
                <w:szCs w:val="24"/>
              </w:rPr>
            </w:pPr>
            <w:r>
              <w:rPr>
                <w:rFonts w:ascii="Arial" w:hAnsi="Arial" w:cs="Arial"/>
                <w:sz w:val="24"/>
                <w:szCs w:val="24"/>
              </w:rPr>
              <w:t>-27,913</w:t>
            </w:r>
          </w:p>
        </w:tc>
        <w:tc>
          <w:tcPr>
            <w:tcW w:w="1542"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sz w:val="24"/>
                <w:szCs w:val="24"/>
              </w:rPr>
              <w:t>-46,670</w:t>
            </w:r>
          </w:p>
        </w:tc>
      </w:tr>
    </w:tbl>
    <w:p w:rsidR="007241EE" w:rsidRPr="009C3CAF" w:rsidRDefault="007241EE" w:rsidP="007241EE">
      <w:pPr>
        <w:ind w:left="360"/>
        <w:rPr>
          <w:rFonts w:ascii="Arial" w:hAnsi="Arial" w:cs="Arial"/>
          <w:sz w:val="24"/>
          <w:szCs w:val="24"/>
        </w:rPr>
      </w:pPr>
    </w:p>
    <w:p w:rsidR="007241EE" w:rsidRDefault="007241EE" w:rsidP="007241EE">
      <w:pPr>
        <w:tabs>
          <w:tab w:val="left" w:pos="426"/>
        </w:tabs>
        <w:ind w:left="360" w:hanging="360"/>
        <w:rPr>
          <w:rFonts w:ascii="Arial" w:hAnsi="Arial" w:cs="Arial"/>
          <w:b/>
          <w:sz w:val="24"/>
          <w:szCs w:val="24"/>
        </w:rPr>
      </w:pPr>
      <w:r>
        <w:rPr>
          <w:rFonts w:ascii="Arial" w:hAnsi="Arial" w:cs="Arial"/>
          <w:b/>
          <w:sz w:val="24"/>
          <w:szCs w:val="24"/>
        </w:rPr>
        <w:t>How we are working to progress employment sites:</w:t>
      </w:r>
    </w:p>
    <w:p w:rsidR="00DA1650" w:rsidRDefault="00DA1650" w:rsidP="007241EE">
      <w:pPr>
        <w:tabs>
          <w:tab w:val="left" w:pos="0"/>
        </w:tabs>
        <w:rPr>
          <w:rFonts w:ascii="Arial" w:hAnsi="Arial" w:cs="Arial"/>
          <w:sz w:val="24"/>
          <w:szCs w:val="24"/>
        </w:rPr>
      </w:pPr>
    </w:p>
    <w:p w:rsidR="007241EE" w:rsidRDefault="007241EE" w:rsidP="007241EE">
      <w:pPr>
        <w:tabs>
          <w:tab w:val="left" w:pos="0"/>
        </w:tabs>
        <w:rPr>
          <w:rFonts w:ascii="Arial" w:hAnsi="Arial" w:cs="Arial"/>
          <w:sz w:val="24"/>
          <w:szCs w:val="24"/>
        </w:rPr>
      </w:pPr>
      <w:r w:rsidRPr="009C3CAF">
        <w:rPr>
          <w:rFonts w:ascii="Arial" w:hAnsi="Arial" w:cs="Arial"/>
          <w:sz w:val="24"/>
          <w:szCs w:val="24"/>
        </w:rPr>
        <w:t>The current employment completions have performed well and in some cases, for example at Red Scar, Preston East and South Rings at Bamber Bridge, build out has been brought forward in response to market demand. No mitigati</w:t>
      </w:r>
      <w:r>
        <w:rPr>
          <w:rFonts w:ascii="Arial" w:hAnsi="Arial" w:cs="Arial"/>
          <w:sz w:val="24"/>
          <w:szCs w:val="24"/>
        </w:rPr>
        <w:t>ng</w:t>
      </w:r>
      <w:r w:rsidRPr="009C3CAF">
        <w:rPr>
          <w:rFonts w:ascii="Arial" w:hAnsi="Arial" w:cs="Arial"/>
          <w:sz w:val="24"/>
          <w:szCs w:val="24"/>
        </w:rPr>
        <w:t xml:space="preserve"> action is therefore required with regards existing site completions. Commercial floorspace outputs will continue to be focussed on these established sites, whilst the </w:t>
      </w:r>
      <w:r>
        <w:rPr>
          <w:rFonts w:ascii="Arial" w:hAnsi="Arial" w:cs="Arial"/>
          <w:sz w:val="24"/>
          <w:szCs w:val="24"/>
        </w:rPr>
        <w:t>d</w:t>
      </w:r>
      <w:r w:rsidRPr="009C3CAF">
        <w:rPr>
          <w:rFonts w:ascii="Arial" w:hAnsi="Arial" w:cs="Arial"/>
          <w:sz w:val="24"/>
          <w:szCs w:val="24"/>
        </w:rPr>
        <w:t>evelopment of mixed-use sites and other large employment sites will support the next phase outputs. Partners are working on a number of activities to ensure that future targets are met, which include</w:t>
      </w:r>
      <w:r>
        <w:rPr>
          <w:rFonts w:ascii="Arial" w:hAnsi="Arial" w:cs="Arial"/>
          <w:sz w:val="24"/>
          <w:szCs w:val="24"/>
        </w:rPr>
        <w:t>:</w:t>
      </w:r>
    </w:p>
    <w:p w:rsidR="00DA1650" w:rsidRPr="009C3CAF" w:rsidRDefault="00DA1650" w:rsidP="007241EE">
      <w:pPr>
        <w:tabs>
          <w:tab w:val="left" w:pos="0"/>
        </w:tabs>
        <w:rPr>
          <w:rFonts w:ascii="Arial" w:hAnsi="Arial" w:cs="Arial"/>
          <w:sz w:val="24"/>
          <w:szCs w:val="24"/>
        </w:rPr>
      </w:pPr>
    </w:p>
    <w:p w:rsidR="007241EE" w:rsidRPr="006E5D5F" w:rsidRDefault="007241EE" w:rsidP="007241EE">
      <w:pPr>
        <w:pStyle w:val="ListParagraph"/>
        <w:numPr>
          <w:ilvl w:val="0"/>
          <w:numId w:val="42"/>
        </w:numPr>
        <w:tabs>
          <w:tab w:val="left" w:pos="426"/>
        </w:tabs>
        <w:spacing w:after="160" w:line="259" w:lineRule="auto"/>
        <w:rPr>
          <w:rFonts w:ascii="Arial" w:hAnsi="Arial" w:cs="Arial"/>
          <w:sz w:val="24"/>
          <w:szCs w:val="24"/>
        </w:rPr>
      </w:pPr>
      <w:r w:rsidRPr="006E5D5F">
        <w:rPr>
          <w:rFonts w:ascii="Arial" w:hAnsi="Arial" w:cs="Arial"/>
          <w:sz w:val="24"/>
          <w:szCs w:val="24"/>
        </w:rPr>
        <w:t>Implementation of a Marketing &amp; Communications Plan to generate investor interest, including; the proposed launch of the Invest Central Lancashire proposition, and regular Developer &amp; Investor events.</w:t>
      </w:r>
    </w:p>
    <w:p w:rsidR="007241EE" w:rsidRPr="006E5D5F" w:rsidRDefault="007241EE" w:rsidP="007241EE">
      <w:pPr>
        <w:pStyle w:val="ListParagraph"/>
        <w:numPr>
          <w:ilvl w:val="0"/>
          <w:numId w:val="42"/>
        </w:numPr>
        <w:tabs>
          <w:tab w:val="left" w:pos="426"/>
        </w:tabs>
        <w:spacing w:after="160" w:line="259" w:lineRule="auto"/>
        <w:rPr>
          <w:rFonts w:ascii="Arial" w:hAnsi="Arial" w:cs="Arial"/>
          <w:sz w:val="24"/>
          <w:szCs w:val="24"/>
        </w:rPr>
      </w:pPr>
      <w:r w:rsidRPr="006E5D5F">
        <w:rPr>
          <w:rFonts w:ascii="Arial" w:hAnsi="Arial" w:cs="Arial"/>
          <w:sz w:val="24"/>
          <w:szCs w:val="24"/>
        </w:rPr>
        <w:t>A programmed approach to bringing forward housing sites, aided by the intervention of the Development Sites Delivery Group, including mixed-use sites where there is a commercial element.</w:t>
      </w:r>
    </w:p>
    <w:p w:rsidR="007241EE" w:rsidRDefault="007241EE" w:rsidP="007241EE">
      <w:pPr>
        <w:tabs>
          <w:tab w:val="left" w:pos="426"/>
        </w:tabs>
        <w:rPr>
          <w:rFonts w:ascii="Arial" w:hAnsi="Arial" w:cs="Arial"/>
          <w:sz w:val="24"/>
          <w:szCs w:val="24"/>
        </w:rPr>
      </w:pPr>
      <w:r w:rsidRPr="00593596">
        <w:rPr>
          <w:rFonts w:ascii="Arial" w:hAnsi="Arial" w:cs="Arial"/>
          <w:sz w:val="24"/>
          <w:szCs w:val="24"/>
        </w:rPr>
        <w:t>Additional planning capacity will be provided through the successful HCA Capacity Fund bid. Project activity continues to expedite specific site development matters</w:t>
      </w:r>
      <w:r>
        <w:rPr>
          <w:rFonts w:ascii="Arial" w:hAnsi="Arial" w:cs="Arial"/>
          <w:sz w:val="24"/>
          <w:szCs w:val="24"/>
        </w:rPr>
        <w:t xml:space="preserve"> including</w:t>
      </w:r>
      <w:r w:rsidRPr="00593596">
        <w:rPr>
          <w:rFonts w:ascii="Arial" w:hAnsi="Arial" w:cs="Arial"/>
          <w:sz w:val="24"/>
          <w:szCs w:val="24"/>
        </w:rPr>
        <w:t>;</w:t>
      </w:r>
    </w:p>
    <w:p w:rsidR="00DA1650" w:rsidRPr="00593596" w:rsidRDefault="00DA1650" w:rsidP="007241EE">
      <w:pPr>
        <w:tabs>
          <w:tab w:val="left" w:pos="426"/>
        </w:tabs>
        <w:rPr>
          <w:rFonts w:ascii="Arial" w:hAnsi="Arial" w:cs="Arial"/>
          <w:sz w:val="24"/>
          <w:szCs w:val="24"/>
        </w:rPr>
      </w:pPr>
    </w:p>
    <w:p w:rsidR="007241EE" w:rsidRPr="006E5D5F" w:rsidRDefault="007241EE" w:rsidP="007241EE">
      <w:pPr>
        <w:pStyle w:val="ListParagraph"/>
        <w:numPr>
          <w:ilvl w:val="0"/>
          <w:numId w:val="42"/>
        </w:numPr>
        <w:tabs>
          <w:tab w:val="left" w:pos="426"/>
        </w:tabs>
        <w:spacing w:after="160" w:line="259" w:lineRule="auto"/>
        <w:rPr>
          <w:rFonts w:ascii="Arial" w:hAnsi="Arial" w:cs="Arial"/>
          <w:sz w:val="24"/>
          <w:szCs w:val="24"/>
        </w:rPr>
      </w:pPr>
      <w:r w:rsidRPr="006E5D5F">
        <w:rPr>
          <w:rFonts w:ascii="Arial" w:hAnsi="Arial" w:cs="Arial"/>
          <w:sz w:val="24"/>
          <w:szCs w:val="24"/>
        </w:rPr>
        <w:t xml:space="preserve">Cottam Brickworks – as joint landowners, LCC and HCA are to meet to discuss strategic options to progress the site. </w:t>
      </w:r>
    </w:p>
    <w:p w:rsidR="007241EE" w:rsidRPr="006E5D5F" w:rsidRDefault="007241EE" w:rsidP="007241EE">
      <w:pPr>
        <w:pStyle w:val="ListParagraph"/>
        <w:numPr>
          <w:ilvl w:val="0"/>
          <w:numId w:val="42"/>
        </w:numPr>
        <w:tabs>
          <w:tab w:val="left" w:pos="426"/>
        </w:tabs>
        <w:spacing w:after="160" w:line="259" w:lineRule="auto"/>
        <w:rPr>
          <w:rFonts w:ascii="Arial" w:hAnsi="Arial" w:cs="Arial"/>
          <w:sz w:val="24"/>
          <w:szCs w:val="24"/>
        </w:rPr>
      </w:pPr>
      <w:r w:rsidRPr="006E5D5F">
        <w:rPr>
          <w:rFonts w:ascii="Arial" w:hAnsi="Arial" w:cs="Arial"/>
          <w:sz w:val="24"/>
          <w:szCs w:val="24"/>
        </w:rPr>
        <w:t>The sales process for Bluebell Way has been extended due to market interest and deliverability</w:t>
      </w:r>
    </w:p>
    <w:p w:rsidR="007241EE" w:rsidRPr="006E5D5F" w:rsidRDefault="007241EE" w:rsidP="007241EE">
      <w:pPr>
        <w:pStyle w:val="ListParagraph"/>
        <w:numPr>
          <w:ilvl w:val="0"/>
          <w:numId w:val="42"/>
        </w:numPr>
        <w:tabs>
          <w:tab w:val="left" w:pos="426"/>
        </w:tabs>
        <w:spacing w:after="160" w:line="259" w:lineRule="auto"/>
        <w:rPr>
          <w:rFonts w:ascii="Arial" w:hAnsi="Arial" w:cs="Arial"/>
          <w:sz w:val="24"/>
          <w:szCs w:val="24"/>
        </w:rPr>
      </w:pPr>
      <w:r w:rsidRPr="006E5D5F">
        <w:rPr>
          <w:rFonts w:ascii="Arial" w:hAnsi="Arial" w:cs="Arial"/>
          <w:sz w:val="24"/>
          <w:szCs w:val="24"/>
        </w:rPr>
        <w:t xml:space="preserve">The Altus site in Preston City Centre continues to be strongly marketed through City Deal and is featured in the Invest Central Lancashire proposition launch. </w:t>
      </w:r>
    </w:p>
    <w:p w:rsidR="007241EE" w:rsidRDefault="007241EE" w:rsidP="007241EE">
      <w:pPr>
        <w:rPr>
          <w:rFonts w:ascii="Arial" w:hAnsi="Arial" w:cs="Arial"/>
          <w:sz w:val="24"/>
          <w:szCs w:val="24"/>
        </w:rPr>
      </w:pPr>
      <w:r w:rsidRPr="009C3CAF">
        <w:rPr>
          <w:rFonts w:ascii="Arial" w:hAnsi="Arial" w:cs="Arial"/>
          <w:sz w:val="24"/>
          <w:szCs w:val="24"/>
        </w:rPr>
        <w:t xml:space="preserve">As part of the monitoring exercise progress against milestones for each site are measured.  The full site by site analysis demonstrating this progress can be found in Appendix 3.  </w:t>
      </w:r>
    </w:p>
    <w:p w:rsidR="00DA1650" w:rsidRPr="009C3CAF" w:rsidRDefault="00DA1650" w:rsidP="007241EE">
      <w:pPr>
        <w:rPr>
          <w:rFonts w:ascii="Arial" w:hAnsi="Arial" w:cs="Arial"/>
          <w:sz w:val="24"/>
          <w:szCs w:val="24"/>
        </w:rPr>
      </w:pPr>
    </w:p>
    <w:p w:rsidR="007241EE" w:rsidRDefault="007241EE" w:rsidP="007241EE">
      <w:pPr>
        <w:rPr>
          <w:rFonts w:ascii="Arial" w:hAnsi="Arial" w:cs="Arial"/>
          <w:sz w:val="24"/>
          <w:szCs w:val="24"/>
        </w:rPr>
      </w:pPr>
      <w:r>
        <w:rPr>
          <w:rFonts w:ascii="Arial" w:hAnsi="Arial" w:cs="Arial"/>
          <w:sz w:val="24"/>
          <w:szCs w:val="24"/>
        </w:rPr>
        <w:t>Broadly this demonstrates that:</w:t>
      </w:r>
    </w:p>
    <w:tbl>
      <w:tblPr>
        <w:tblStyle w:val="TableGrid"/>
        <w:tblW w:w="0" w:type="auto"/>
        <w:tblLook w:val="04A0" w:firstRow="1" w:lastRow="0" w:firstColumn="1" w:lastColumn="0" w:noHBand="0" w:noVBand="1"/>
      </w:tblPr>
      <w:tblGrid>
        <w:gridCol w:w="6326"/>
        <w:gridCol w:w="1418"/>
      </w:tblGrid>
      <w:tr w:rsidR="007241EE" w:rsidTr="008F32CB">
        <w:tc>
          <w:tcPr>
            <w:tcW w:w="6326" w:type="dxa"/>
            <w:tcBorders>
              <w:top w:val="single" w:sz="4" w:space="0" w:color="auto"/>
              <w:left w:val="single" w:sz="4" w:space="0" w:color="auto"/>
              <w:bottom w:val="single" w:sz="4" w:space="0" w:color="auto"/>
              <w:right w:val="single" w:sz="4" w:space="0" w:color="auto"/>
            </w:tcBorders>
          </w:tcPr>
          <w:p w:rsidR="007241EE" w:rsidRDefault="007241EE" w:rsidP="008F32CB">
            <w:pPr>
              <w:rPr>
                <w:rFonts w:ascii="Arial" w:hAnsi="Arial" w:cs="Arial"/>
                <w:sz w:val="24"/>
                <w:szCs w:val="24"/>
              </w:rPr>
            </w:pPr>
            <w:r>
              <w:rPr>
                <w:rFonts w:ascii="Arial" w:hAnsi="Arial" w:cs="Arial"/>
                <w:sz w:val="24"/>
                <w:szCs w:val="24"/>
              </w:rPr>
              <w:t>Total number of sites (all sites)</w:t>
            </w:r>
          </w:p>
        </w:tc>
        <w:tc>
          <w:tcPr>
            <w:tcW w:w="1418" w:type="dxa"/>
            <w:tcBorders>
              <w:top w:val="single" w:sz="4" w:space="0" w:color="auto"/>
              <w:left w:val="single" w:sz="4" w:space="0" w:color="auto"/>
              <w:bottom w:val="single" w:sz="4" w:space="0" w:color="auto"/>
              <w:right w:val="single" w:sz="4" w:space="0" w:color="auto"/>
            </w:tcBorders>
          </w:tcPr>
          <w:p w:rsidR="007241EE" w:rsidRDefault="007241EE" w:rsidP="008F32CB">
            <w:pPr>
              <w:rPr>
                <w:rFonts w:ascii="Arial" w:hAnsi="Arial" w:cs="Arial"/>
                <w:sz w:val="24"/>
                <w:szCs w:val="24"/>
              </w:rPr>
            </w:pPr>
            <w:r>
              <w:rPr>
                <w:rFonts w:ascii="Arial" w:hAnsi="Arial" w:cs="Arial"/>
                <w:sz w:val="24"/>
                <w:szCs w:val="24"/>
              </w:rPr>
              <w:t>32</w:t>
            </w:r>
          </w:p>
        </w:tc>
      </w:tr>
      <w:tr w:rsidR="007241EE" w:rsidTr="008F32CB">
        <w:tc>
          <w:tcPr>
            <w:tcW w:w="632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4"/>
                <w:szCs w:val="24"/>
              </w:rPr>
            </w:pPr>
            <w:r w:rsidRPr="002E0888">
              <w:rPr>
                <w:rFonts w:ascii="Arial" w:hAnsi="Arial" w:cs="Arial"/>
                <w:b/>
                <w:sz w:val="24"/>
                <w:szCs w:val="24"/>
              </w:rPr>
              <w:t>Active</w:t>
            </w:r>
            <w:r>
              <w:rPr>
                <w:rFonts w:ascii="Arial" w:hAnsi="Arial" w:cs="Arial"/>
                <w:sz w:val="24"/>
                <w:szCs w:val="24"/>
              </w:rPr>
              <w:t xml:space="preserve"> sites progressing well *</w:t>
            </w:r>
          </w:p>
        </w:tc>
        <w:tc>
          <w:tcPr>
            <w:tcW w:w="1418"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4"/>
                <w:szCs w:val="24"/>
              </w:rPr>
            </w:pPr>
            <w:r>
              <w:rPr>
                <w:rFonts w:ascii="Arial" w:hAnsi="Arial" w:cs="Arial"/>
                <w:sz w:val="24"/>
                <w:szCs w:val="24"/>
              </w:rPr>
              <w:t>9</w:t>
            </w:r>
          </w:p>
        </w:tc>
      </w:tr>
      <w:tr w:rsidR="007241EE" w:rsidTr="008F32CB">
        <w:tc>
          <w:tcPr>
            <w:tcW w:w="632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4"/>
                <w:szCs w:val="24"/>
              </w:rPr>
            </w:pPr>
            <w:r w:rsidRPr="002E0888">
              <w:rPr>
                <w:rFonts w:ascii="Arial" w:hAnsi="Arial" w:cs="Arial"/>
                <w:b/>
                <w:sz w:val="24"/>
                <w:szCs w:val="24"/>
              </w:rPr>
              <w:t>Active</w:t>
            </w:r>
            <w:r>
              <w:rPr>
                <w:rFonts w:ascii="Arial" w:hAnsi="Arial" w:cs="Arial"/>
                <w:sz w:val="24"/>
                <w:szCs w:val="24"/>
              </w:rPr>
              <w:t xml:space="preserve"> sites not progressing as anticipated  **</w:t>
            </w:r>
          </w:p>
        </w:tc>
        <w:tc>
          <w:tcPr>
            <w:tcW w:w="1418"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4"/>
                <w:szCs w:val="24"/>
              </w:rPr>
            </w:pPr>
            <w:r>
              <w:rPr>
                <w:rFonts w:ascii="Arial" w:hAnsi="Arial" w:cs="Arial"/>
                <w:sz w:val="24"/>
                <w:szCs w:val="24"/>
              </w:rPr>
              <w:t>10</w:t>
            </w:r>
          </w:p>
        </w:tc>
      </w:tr>
      <w:tr w:rsidR="007241EE" w:rsidTr="008F32CB">
        <w:tc>
          <w:tcPr>
            <w:tcW w:w="632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4"/>
                <w:szCs w:val="24"/>
              </w:rPr>
            </w:pPr>
            <w:r w:rsidRPr="002E0888">
              <w:rPr>
                <w:rFonts w:ascii="Arial" w:hAnsi="Arial" w:cs="Arial"/>
                <w:b/>
                <w:sz w:val="24"/>
                <w:szCs w:val="24"/>
              </w:rPr>
              <w:t>Active</w:t>
            </w:r>
            <w:r>
              <w:rPr>
                <w:rFonts w:ascii="Arial" w:hAnsi="Arial" w:cs="Arial"/>
                <w:sz w:val="24"/>
                <w:szCs w:val="24"/>
              </w:rPr>
              <w:t xml:space="preserve"> sites at pre-construction phase</w:t>
            </w:r>
          </w:p>
        </w:tc>
        <w:tc>
          <w:tcPr>
            <w:tcW w:w="1418"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4"/>
                <w:szCs w:val="24"/>
              </w:rPr>
            </w:pPr>
            <w:r>
              <w:rPr>
                <w:rFonts w:ascii="Arial" w:hAnsi="Arial" w:cs="Arial"/>
                <w:sz w:val="24"/>
                <w:szCs w:val="24"/>
              </w:rPr>
              <w:t>13</w:t>
            </w:r>
          </w:p>
        </w:tc>
      </w:tr>
      <w:tr w:rsidR="007241EE" w:rsidTr="008F32CB">
        <w:tc>
          <w:tcPr>
            <w:tcW w:w="632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4"/>
                <w:szCs w:val="24"/>
              </w:rPr>
            </w:pPr>
            <w:r w:rsidRPr="002E0888">
              <w:rPr>
                <w:rFonts w:ascii="Arial" w:hAnsi="Arial" w:cs="Arial"/>
                <w:b/>
                <w:sz w:val="24"/>
                <w:szCs w:val="24"/>
              </w:rPr>
              <w:t>Active</w:t>
            </w:r>
            <w:r>
              <w:rPr>
                <w:rFonts w:ascii="Arial" w:hAnsi="Arial" w:cs="Arial"/>
                <w:sz w:val="24"/>
                <w:szCs w:val="24"/>
              </w:rPr>
              <w:t xml:space="preserve"> sites under construction</w:t>
            </w:r>
          </w:p>
        </w:tc>
        <w:tc>
          <w:tcPr>
            <w:tcW w:w="1418"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4"/>
                <w:szCs w:val="24"/>
              </w:rPr>
            </w:pPr>
            <w:r>
              <w:rPr>
                <w:rFonts w:ascii="Arial" w:hAnsi="Arial" w:cs="Arial"/>
                <w:sz w:val="24"/>
                <w:szCs w:val="24"/>
              </w:rPr>
              <w:t>6</w:t>
            </w:r>
          </w:p>
        </w:tc>
      </w:tr>
    </w:tbl>
    <w:p w:rsidR="007241EE" w:rsidRDefault="007241EE" w:rsidP="007241EE">
      <w:pPr>
        <w:tabs>
          <w:tab w:val="left" w:pos="426"/>
        </w:tabs>
        <w:ind w:left="360" w:hanging="360"/>
        <w:rPr>
          <w:rFonts w:ascii="Arial" w:hAnsi="Arial" w:cs="Arial"/>
          <w:sz w:val="20"/>
          <w:szCs w:val="20"/>
        </w:rPr>
      </w:pPr>
      <w:r w:rsidRPr="003E3DEE">
        <w:rPr>
          <w:rFonts w:ascii="Arial" w:hAnsi="Arial" w:cs="Arial"/>
          <w:sz w:val="20"/>
          <w:szCs w:val="20"/>
        </w:rPr>
        <w:t>*green in RAG report</w:t>
      </w:r>
    </w:p>
    <w:p w:rsidR="007241EE" w:rsidRPr="003E3DEE" w:rsidRDefault="007241EE" w:rsidP="007241EE">
      <w:pPr>
        <w:tabs>
          <w:tab w:val="left" w:pos="426"/>
        </w:tabs>
        <w:ind w:left="360" w:hanging="360"/>
        <w:rPr>
          <w:rFonts w:ascii="Arial" w:hAnsi="Arial" w:cs="Arial"/>
          <w:sz w:val="20"/>
          <w:szCs w:val="20"/>
        </w:rPr>
      </w:pPr>
      <w:r w:rsidRPr="003E3DEE">
        <w:rPr>
          <w:rFonts w:ascii="Arial" w:hAnsi="Arial" w:cs="Arial"/>
          <w:sz w:val="20"/>
          <w:szCs w:val="20"/>
        </w:rPr>
        <w:t>**amber or red in RAG report</w:t>
      </w:r>
    </w:p>
    <w:p w:rsidR="007241EE" w:rsidRDefault="007241EE" w:rsidP="007241EE">
      <w:pPr>
        <w:tabs>
          <w:tab w:val="left" w:pos="426"/>
        </w:tabs>
        <w:ind w:left="360" w:hanging="360"/>
        <w:rPr>
          <w:rFonts w:ascii="Arial" w:hAnsi="Arial" w:cs="Arial"/>
          <w:sz w:val="24"/>
          <w:szCs w:val="24"/>
        </w:rPr>
      </w:pPr>
      <w:r>
        <w:rPr>
          <w:rFonts w:ascii="Arial" w:hAnsi="Arial" w:cs="Arial"/>
          <w:sz w:val="24"/>
          <w:szCs w:val="24"/>
        </w:rPr>
        <w:lastRenderedPageBreak/>
        <w:t xml:space="preserve">Notable progress has been made on the following named sites: </w:t>
      </w:r>
    </w:p>
    <w:p w:rsidR="00DA1650" w:rsidRDefault="00DA1650" w:rsidP="007241EE">
      <w:pPr>
        <w:tabs>
          <w:tab w:val="left" w:pos="426"/>
        </w:tabs>
        <w:ind w:left="360" w:hanging="360"/>
        <w:rPr>
          <w:rFonts w:ascii="Arial" w:hAnsi="Arial" w:cs="Arial"/>
          <w:sz w:val="24"/>
          <w:szCs w:val="24"/>
        </w:rPr>
      </w:pPr>
    </w:p>
    <w:p w:rsidR="007241EE" w:rsidRDefault="007241EE" w:rsidP="007241EE">
      <w:pPr>
        <w:pStyle w:val="ListParagraph"/>
        <w:numPr>
          <w:ilvl w:val="0"/>
          <w:numId w:val="24"/>
        </w:numPr>
        <w:tabs>
          <w:tab w:val="left" w:pos="426"/>
        </w:tabs>
        <w:spacing w:after="160" w:line="259" w:lineRule="auto"/>
        <w:rPr>
          <w:rFonts w:ascii="Arial" w:hAnsi="Arial" w:cs="Arial"/>
          <w:sz w:val="24"/>
          <w:szCs w:val="24"/>
        </w:rPr>
      </w:pPr>
      <w:r>
        <w:rPr>
          <w:rFonts w:ascii="Arial" w:hAnsi="Arial" w:cs="Arial"/>
          <w:sz w:val="24"/>
          <w:szCs w:val="24"/>
        </w:rPr>
        <w:t>Winckley Square – Glovers Court completed and occupied</w:t>
      </w:r>
    </w:p>
    <w:p w:rsidR="007241EE" w:rsidRDefault="007241EE" w:rsidP="007241EE">
      <w:pPr>
        <w:pStyle w:val="ListParagraph"/>
        <w:numPr>
          <w:ilvl w:val="0"/>
          <w:numId w:val="24"/>
        </w:numPr>
        <w:tabs>
          <w:tab w:val="left" w:pos="426"/>
        </w:tabs>
        <w:spacing w:after="160" w:line="259" w:lineRule="auto"/>
        <w:rPr>
          <w:rFonts w:ascii="Arial" w:hAnsi="Arial" w:cs="Arial"/>
          <w:sz w:val="24"/>
          <w:szCs w:val="24"/>
        </w:rPr>
      </w:pPr>
      <w:r>
        <w:rPr>
          <w:rFonts w:ascii="Arial" w:hAnsi="Arial" w:cs="Arial"/>
          <w:sz w:val="24"/>
          <w:szCs w:val="24"/>
        </w:rPr>
        <w:t>Horrockses Development – Phase 1 completed</w:t>
      </w:r>
    </w:p>
    <w:p w:rsidR="007241EE" w:rsidRDefault="007241EE" w:rsidP="007241EE">
      <w:pPr>
        <w:pStyle w:val="ListParagraph"/>
        <w:numPr>
          <w:ilvl w:val="0"/>
          <w:numId w:val="24"/>
        </w:numPr>
        <w:tabs>
          <w:tab w:val="left" w:pos="426"/>
        </w:tabs>
        <w:spacing w:after="160" w:line="259" w:lineRule="auto"/>
        <w:rPr>
          <w:rFonts w:ascii="Arial" w:hAnsi="Arial" w:cs="Arial"/>
          <w:sz w:val="24"/>
          <w:szCs w:val="24"/>
        </w:rPr>
      </w:pPr>
      <w:r>
        <w:rPr>
          <w:rFonts w:ascii="Arial" w:hAnsi="Arial" w:cs="Arial"/>
          <w:sz w:val="24"/>
          <w:szCs w:val="24"/>
        </w:rPr>
        <w:t>South Rings – Phase 1 light industrial units completed and occupied</w:t>
      </w:r>
    </w:p>
    <w:p w:rsidR="007241EE" w:rsidRDefault="007241EE" w:rsidP="007241EE">
      <w:pPr>
        <w:pStyle w:val="ListParagraph"/>
        <w:numPr>
          <w:ilvl w:val="0"/>
          <w:numId w:val="24"/>
        </w:numPr>
        <w:tabs>
          <w:tab w:val="left" w:pos="426"/>
        </w:tabs>
        <w:spacing w:after="160" w:line="259" w:lineRule="auto"/>
        <w:rPr>
          <w:rFonts w:ascii="Arial" w:hAnsi="Arial" w:cs="Arial"/>
          <w:sz w:val="24"/>
          <w:szCs w:val="24"/>
        </w:rPr>
      </w:pPr>
      <w:r>
        <w:rPr>
          <w:rFonts w:ascii="Arial" w:hAnsi="Arial" w:cs="Arial"/>
          <w:sz w:val="24"/>
          <w:szCs w:val="24"/>
        </w:rPr>
        <w:t>Red Scar - Phase 1 light industrial units completed and partly occupied</w:t>
      </w:r>
    </w:p>
    <w:p w:rsidR="007241EE" w:rsidRDefault="007241EE" w:rsidP="007241EE">
      <w:pPr>
        <w:pStyle w:val="ListParagraph"/>
        <w:numPr>
          <w:ilvl w:val="0"/>
          <w:numId w:val="24"/>
        </w:numPr>
        <w:tabs>
          <w:tab w:val="left" w:pos="426"/>
        </w:tabs>
        <w:spacing w:after="160" w:line="259" w:lineRule="auto"/>
        <w:rPr>
          <w:rFonts w:ascii="Arial" w:hAnsi="Arial" w:cs="Arial"/>
          <w:sz w:val="24"/>
          <w:szCs w:val="24"/>
        </w:rPr>
      </w:pPr>
      <w:r>
        <w:rPr>
          <w:rFonts w:ascii="Arial" w:hAnsi="Arial" w:cs="Arial"/>
          <w:sz w:val="24"/>
          <w:szCs w:val="24"/>
        </w:rPr>
        <w:t>Samlesbury EZ – Training Facility/Logistics site completed and occupied</w:t>
      </w:r>
    </w:p>
    <w:p w:rsidR="007241EE" w:rsidRDefault="007241EE" w:rsidP="007241EE">
      <w:pPr>
        <w:pStyle w:val="ListParagraph"/>
        <w:numPr>
          <w:ilvl w:val="0"/>
          <w:numId w:val="24"/>
        </w:numPr>
        <w:tabs>
          <w:tab w:val="left" w:pos="426"/>
        </w:tabs>
        <w:spacing w:after="160" w:line="259" w:lineRule="auto"/>
        <w:rPr>
          <w:rFonts w:ascii="Arial" w:hAnsi="Arial" w:cs="Arial"/>
          <w:sz w:val="24"/>
          <w:szCs w:val="24"/>
        </w:rPr>
      </w:pPr>
      <w:r>
        <w:rPr>
          <w:rFonts w:ascii="Arial" w:hAnsi="Arial" w:cs="Arial"/>
          <w:sz w:val="24"/>
          <w:szCs w:val="24"/>
        </w:rPr>
        <w:t>Bus Station- construction commenced and first phase units occupied</w:t>
      </w:r>
    </w:p>
    <w:p w:rsidR="007241EE" w:rsidRDefault="007241EE" w:rsidP="007241EE">
      <w:pPr>
        <w:pStyle w:val="ListParagraph"/>
        <w:numPr>
          <w:ilvl w:val="0"/>
          <w:numId w:val="24"/>
        </w:numPr>
        <w:tabs>
          <w:tab w:val="left" w:pos="426"/>
        </w:tabs>
        <w:spacing w:after="160" w:line="259" w:lineRule="auto"/>
        <w:rPr>
          <w:rFonts w:ascii="Arial" w:hAnsi="Arial" w:cs="Arial"/>
          <w:sz w:val="24"/>
          <w:szCs w:val="24"/>
        </w:rPr>
      </w:pPr>
      <w:r>
        <w:rPr>
          <w:rFonts w:ascii="Arial" w:hAnsi="Arial" w:cs="Arial"/>
          <w:sz w:val="24"/>
          <w:szCs w:val="24"/>
        </w:rPr>
        <w:t>Markets Quarter – construction commenced</w:t>
      </w:r>
    </w:p>
    <w:p w:rsidR="007241EE" w:rsidRDefault="007241EE" w:rsidP="007241EE">
      <w:pPr>
        <w:pStyle w:val="ListParagraph"/>
        <w:numPr>
          <w:ilvl w:val="0"/>
          <w:numId w:val="24"/>
        </w:numPr>
        <w:tabs>
          <w:tab w:val="left" w:pos="426"/>
        </w:tabs>
        <w:spacing w:after="160" w:line="259" w:lineRule="auto"/>
        <w:rPr>
          <w:rFonts w:ascii="Arial" w:hAnsi="Arial" w:cs="Arial"/>
          <w:sz w:val="24"/>
          <w:szCs w:val="24"/>
        </w:rPr>
      </w:pPr>
      <w:r>
        <w:rPr>
          <w:rFonts w:ascii="Arial" w:hAnsi="Arial" w:cs="Arial"/>
          <w:sz w:val="24"/>
          <w:szCs w:val="24"/>
        </w:rPr>
        <w:t xml:space="preserve">Guildhall Leisure development – construction commenced </w:t>
      </w:r>
    </w:p>
    <w:p w:rsidR="007241EE" w:rsidRDefault="007241EE" w:rsidP="007241EE">
      <w:pPr>
        <w:pStyle w:val="ListParagraph"/>
        <w:numPr>
          <w:ilvl w:val="0"/>
          <w:numId w:val="24"/>
        </w:numPr>
        <w:tabs>
          <w:tab w:val="left" w:pos="426"/>
        </w:tabs>
        <w:spacing w:after="160" w:line="259" w:lineRule="auto"/>
        <w:rPr>
          <w:rFonts w:ascii="Arial" w:hAnsi="Arial" w:cs="Arial"/>
          <w:sz w:val="24"/>
          <w:szCs w:val="24"/>
        </w:rPr>
      </w:pPr>
      <w:r>
        <w:rPr>
          <w:rFonts w:ascii="Arial" w:hAnsi="Arial" w:cs="Arial"/>
          <w:sz w:val="24"/>
          <w:szCs w:val="24"/>
        </w:rPr>
        <w:t xml:space="preserve">Cuerden Strategic Site – Anchor tenant secured. </w:t>
      </w:r>
    </w:p>
    <w:p w:rsidR="007241EE" w:rsidRDefault="007241EE" w:rsidP="007241EE">
      <w:pPr>
        <w:tabs>
          <w:tab w:val="left" w:pos="426"/>
        </w:tabs>
        <w:rPr>
          <w:rFonts w:ascii="Arial" w:hAnsi="Arial" w:cs="Arial"/>
          <w:sz w:val="24"/>
          <w:szCs w:val="24"/>
        </w:rPr>
      </w:pPr>
      <w:r>
        <w:rPr>
          <w:rFonts w:ascii="Arial" w:hAnsi="Arial" w:cs="Arial"/>
          <w:sz w:val="24"/>
          <w:szCs w:val="24"/>
        </w:rPr>
        <w:t>The following sites have not progressed as anticipated:</w:t>
      </w:r>
    </w:p>
    <w:p w:rsidR="00DA1650" w:rsidRDefault="00DA1650" w:rsidP="007241EE">
      <w:pPr>
        <w:tabs>
          <w:tab w:val="left" w:pos="426"/>
        </w:tabs>
        <w:rPr>
          <w:rFonts w:ascii="Arial" w:hAnsi="Arial" w:cs="Arial"/>
          <w:sz w:val="24"/>
          <w:szCs w:val="24"/>
        </w:rPr>
      </w:pPr>
    </w:p>
    <w:p w:rsidR="007241EE" w:rsidRDefault="007241EE" w:rsidP="007241EE">
      <w:pPr>
        <w:pStyle w:val="ListParagraph"/>
        <w:numPr>
          <w:ilvl w:val="0"/>
          <w:numId w:val="25"/>
        </w:numPr>
        <w:tabs>
          <w:tab w:val="left" w:pos="426"/>
        </w:tabs>
        <w:spacing w:after="160" w:line="259" w:lineRule="auto"/>
        <w:rPr>
          <w:rFonts w:ascii="Arial" w:hAnsi="Arial" w:cs="Arial"/>
          <w:sz w:val="24"/>
          <w:szCs w:val="24"/>
        </w:rPr>
      </w:pPr>
      <w:r>
        <w:rPr>
          <w:rFonts w:ascii="Arial" w:hAnsi="Arial" w:cs="Arial"/>
          <w:sz w:val="24"/>
          <w:szCs w:val="24"/>
        </w:rPr>
        <w:t xml:space="preserve">Employment land at mixed-use sites have been delayed including Cottam Brickworks and Whittingham Hospital </w:t>
      </w:r>
    </w:p>
    <w:p w:rsidR="007241EE" w:rsidRDefault="007241EE" w:rsidP="007241EE">
      <w:pPr>
        <w:pStyle w:val="ListParagraph"/>
        <w:numPr>
          <w:ilvl w:val="0"/>
          <w:numId w:val="25"/>
        </w:numPr>
        <w:tabs>
          <w:tab w:val="left" w:pos="426"/>
        </w:tabs>
        <w:spacing w:after="160" w:line="259" w:lineRule="auto"/>
        <w:rPr>
          <w:rFonts w:ascii="Arial" w:hAnsi="Arial" w:cs="Arial"/>
          <w:sz w:val="24"/>
          <w:szCs w:val="24"/>
        </w:rPr>
      </w:pPr>
      <w:r>
        <w:rPr>
          <w:rFonts w:ascii="Arial" w:hAnsi="Arial" w:cs="Arial"/>
          <w:sz w:val="24"/>
          <w:szCs w:val="24"/>
        </w:rPr>
        <w:t>Preston City Centre developments are subject to market demand in progressing planning applications (Altus development  &amp; College House at Winckley Square)</w:t>
      </w:r>
    </w:p>
    <w:p w:rsidR="007241EE" w:rsidRDefault="007241EE" w:rsidP="007241EE">
      <w:pPr>
        <w:pStyle w:val="ListParagraph"/>
        <w:numPr>
          <w:ilvl w:val="0"/>
          <w:numId w:val="25"/>
        </w:numPr>
        <w:tabs>
          <w:tab w:val="left" w:pos="426"/>
        </w:tabs>
        <w:spacing w:after="160" w:line="259" w:lineRule="auto"/>
        <w:rPr>
          <w:rFonts w:ascii="Arial" w:hAnsi="Arial" w:cs="Arial"/>
          <w:sz w:val="24"/>
          <w:szCs w:val="24"/>
        </w:rPr>
      </w:pPr>
      <w:r>
        <w:rPr>
          <w:rFonts w:ascii="Arial" w:hAnsi="Arial" w:cs="Arial"/>
          <w:sz w:val="24"/>
          <w:szCs w:val="24"/>
        </w:rPr>
        <w:t>Construction cost increases have delayed the UCLan EIC which is subject to a value engineering exercise</w:t>
      </w:r>
    </w:p>
    <w:p w:rsidR="007241EE" w:rsidRDefault="007241EE" w:rsidP="007241EE">
      <w:pPr>
        <w:pStyle w:val="ListParagraph"/>
        <w:numPr>
          <w:ilvl w:val="0"/>
          <w:numId w:val="25"/>
        </w:numPr>
        <w:tabs>
          <w:tab w:val="left" w:pos="426"/>
        </w:tabs>
        <w:spacing w:after="160" w:line="259" w:lineRule="auto"/>
        <w:rPr>
          <w:rFonts w:ascii="Arial" w:hAnsi="Arial" w:cs="Arial"/>
          <w:sz w:val="24"/>
          <w:szCs w:val="24"/>
        </w:rPr>
      </w:pPr>
      <w:r>
        <w:rPr>
          <w:rFonts w:ascii="Arial" w:hAnsi="Arial" w:cs="Arial"/>
          <w:sz w:val="24"/>
          <w:szCs w:val="24"/>
        </w:rPr>
        <w:t xml:space="preserve">Slight delays have been experienced in submitting/processing the Cuerden planning application  </w:t>
      </w:r>
    </w:p>
    <w:p w:rsidR="007241EE" w:rsidRDefault="007241EE" w:rsidP="007241EE">
      <w:pPr>
        <w:pStyle w:val="ListParagraph"/>
        <w:numPr>
          <w:ilvl w:val="0"/>
          <w:numId w:val="25"/>
        </w:numPr>
        <w:tabs>
          <w:tab w:val="left" w:pos="426"/>
        </w:tabs>
        <w:spacing w:after="160" w:line="259" w:lineRule="auto"/>
        <w:rPr>
          <w:rFonts w:ascii="Arial" w:hAnsi="Arial" w:cs="Arial"/>
          <w:sz w:val="24"/>
          <w:szCs w:val="24"/>
        </w:rPr>
      </w:pPr>
      <w:r>
        <w:rPr>
          <w:rFonts w:ascii="Arial" w:hAnsi="Arial" w:cs="Arial"/>
          <w:sz w:val="24"/>
          <w:szCs w:val="24"/>
        </w:rPr>
        <w:t xml:space="preserve">There have been slight delays in the disposal of other sites, e.g. Bluebell Way. </w:t>
      </w:r>
    </w:p>
    <w:p w:rsidR="007241EE" w:rsidRDefault="007241EE" w:rsidP="007241EE">
      <w:pPr>
        <w:pStyle w:val="ListParagraph"/>
        <w:tabs>
          <w:tab w:val="left" w:pos="426"/>
        </w:tabs>
        <w:rPr>
          <w:rFonts w:ascii="Arial" w:hAnsi="Arial" w:cs="Arial"/>
          <w:sz w:val="24"/>
          <w:szCs w:val="24"/>
        </w:rPr>
      </w:pPr>
    </w:p>
    <w:p w:rsidR="007241EE" w:rsidRDefault="007241EE" w:rsidP="007241EE">
      <w:pPr>
        <w:rPr>
          <w:rFonts w:ascii="Arial" w:hAnsi="Arial" w:cs="Arial"/>
          <w:b/>
          <w:sz w:val="24"/>
          <w:szCs w:val="24"/>
        </w:rPr>
      </w:pPr>
      <w:r w:rsidRPr="00D9041A">
        <w:rPr>
          <w:rFonts w:ascii="Arial" w:hAnsi="Arial" w:cs="Arial"/>
          <w:b/>
          <w:sz w:val="24"/>
          <w:szCs w:val="24"/>
        </w:rPr>
        <w:t>Jobs related to commercial floorspace</w:t>
      </w:r>
    </w:p>
    <w:p w:rsidR="00DA1650" w:rsidRDefault="00DA1650" w:rsidP="007241EE">
      <w:pPr>
        <w:rPr>
          <w:rFonts w:ascii="Arial" w:hAnsi="Arial" w:cs="Arial"/>
          <w:b/>
          <w:sz w:val="24"/>
          <w:szCs w:val="24"/>
        </w:rPr>
      </w:pPr>
    </w:p>
    <w:p w:rsidR="007241EE" w:rsidRDefault="007241EE" w:rsidP="00DA1650">
      <w:pPr>
        <w:rPr>
          <w:rFonts w:ascii="Arial" w:hAnsi="Arial" w:cs="Arial"/>
          <w:sz w:val="24"/>
          <w:szCs w:val="24"/>
        </w:rPr>
      </w:pPr>
      <w:r w:rsidRPr="009C3CAF">
        <w:rPr>
          <w:rFonts w:ascii="Arial" w:hAnsi="Arial" w:cs="Arial"/>
          <w:sz w:val="24"/>
          <w:szCs w:val="24"/>
        </w:rPr>
        <w:t xml:space="preserve">There have been a total of 3,692 jobs in </w:t>
      </w:r>
      <w:r>
        <w:rPr>
          <w:rFonts w:ascii="Arial" w:hAnsi="Arial" w:cs="Arial"/>
          <w:sz w:val="24"/>
          <w:szCs w:val="24"/>
        </w:rPr>
        <w:t>Y</w:t>
      </w:r>
      <w:r w:rsidRPr="009C3CAF">
        <w:rPr>
          <w:rFonts w:ascii="Arial" w:hAnsi="Arial" w:cs="Arial"/>
          <w:sz w:val="24"/>
          <w:szCs w:val="24"/>
        </w:rPr>
        <w:t xml:space="preserve">ear 3 associated with City Deal commercial floorspace completions, infrastructure construction, new letting and acquisitions of existing commercial floorspace and BOOST business support activities. This excludes employment associated with the apprenticeships, for which data is not yet available due to academic years.  </w:t>
      </w:r>
    </w:p>
    <w:p w:rsidR="00DA1650" w:rsidRPr="009C3CAF" w:rsidRDefault="00DA1650" w:rsidP="00DA1650">
      <w:pPr>
        <w:rPr>
          <w:rFonts w:ascii="Arial" w:hAnsi="Arial" w:cs="Arial"/>
          <w:sz w:val="24"/>
          <w:szCs w:val="24"/>
        </w:rPr>
      </w:pPr>
    </w:p>
    <w:p w:rsidR="007241EE" w:rsidRDefault="007241EE" w:rsidP="007241EE">
      <w:pPr>
        <w:pStyle w:val="ListParagraph"/>
        <w:numPr>
          <w:ilvl w:val="0"/>
          <w:numId w:val="28"/>
        </w:numPr>
        <w:spacing w:after="160" w:line="259" w:lineRule="auto"/>
        <w:rPr>
          <w:rFonts w:ascii="Arial" w:hAnsi="Arial" w:cs="Arial"/>
          <w:sz w:val="24"/>
          <w:szCs w:val="24"/>
        </w:rPr>
      </w:pPr>
      <w:r>
        <w:rPr>
          <w:rFonts w:ascii="Arial" w:hAnsi="Arial" w:cs="Arial"/>
          <w:sz w:val="24"/>
          <w:szCs w:val="24"/>
        </w:rPr>
        <w:t>There are 844 jobs associated with commercial floorspace completions compared with a target of 633 jobs.</w:t>
      </w:r>
    </w:p>
    <w:p w:rsidR="007241EE" w:rsidRDefault="007241EE" w:rsidP="007241EE">
      <w:pPr>
        <w:pStyle w:val="ListParagraph"/>
        <w:numPr>
          <w:ilvl w:val="0"/>
          <w:numId w:val="28"/>
        </w:numPr>
        <w:spacing w:after="160" w:line="259" w:lineRule="auto"/>
        <w:rPr>
          <w:rFonts w:ascii="Arial" w:hAnsi="Arial" w:cs="Arial"/>
          <w:sz w:val="24"/>
          <w:szCs w:val="24"/>
        </w:rPr>
      </w:pPr>
      <w:r>
        <w:rPr>
          <w:rFonts w:ascii="Arial" w:hAnsi="Arial" w:cs="Arial"/>
          <w:sz w:val="24"/>
          <w:szCs w:val="24"/>
        </w:rPr>
        <w:t xml:space="preserve">A further 526 jobs are associated with infrastructure projects compared with a target of 457 jobs. </w:t>
      </w:r>
    </w:p>
    <w:p w:rsidR="007241EE" w:rsidRDefault="007241EE" w:rsidP="007241EE">
      <w:pPr>
        <w:pStyle w:val="ListParagraph"/>
        <w:numPr>
          <w:ilvl w:val="0"/>
          <w:numId w:val="28"/>
        </w:numPr>
        <w:spacing w:after="160" w:line="259" w:lineRule="auto"/>
        <w:rPr>
          <w:rFonts w:ascii="Arial" w:hAnsi="Arial" w:cs="Arial"/>
          <w:sz w:val="24"/>
          <w:szCs w:val="24"/>
        </w:rPr>
      </w:pPr>
      <w:r>
        <w:rPr>
          <w:rFonts w:ascii="Arial" w:hAnsi="Arial" w:cs="Arial"/>
          <w:sz w:val="24"/>
          <w:szCs w:val="24"/>
        </w:rPr>
        <w:t xml:space="preserve">In addition to this, there have been 2,201 jobs associated with employment at existing commercial premises through new sales/letting and 121 jobs created through business support activities.     </w:t>
      </w:r>
    </w:p>
    <w:p w:rsidR="00DA1650" w:rsidRDefault="00DA1650" w:rsidP="00DA1650">
      <w:pPr>
        <w:rPr>
          <w:rFonts w:ascii="Arial" w:hAnsi="Arial" w:cs="Arial"/>
          <w:b/>
          <w:sz w:val="24"/>
          <w:szCs w:val="24"/>
        </w:rPr>
      </w:pPr>
    </w:p>
    <w:p w:rsidR="00DA1650" w:rsidRDefault="00DA1650" w:rsidP="00DA1650">
      <w:pPr>
        <w:rPr>
          <w:rFonts w:ascii="Arial" w:hAnsi="Arial" w:cs="Arial"/>
          <w:b/>
          <w:sz w:val="24"/>
          <w:szCs w:val="24"/>
        </w:rPr>
      </w:pPr>
    </w:p>
    <w:p w:rsidR="00DA1650" w:rsidRDefault="00DA1650" w:rsidP="00DA1650">
      <w:pPr>
        <w:rPr>
          <w:rFonts w:ascii="Arial" w:hAnsi="Arial" w:cs="Arial"/>
          <w:b/>
          <w:sz w:val="24"/>
          <w:szCs w:val="24"/>
        </w:rPr>
      </w:pPr>
    </w:p>
    <w:p w:rsidR="00DA1650" w:rsidRDefault="00DA1650" w:rsidP="00DA1650">
      <w:pPr>
        <w:rPr>
          <w:rFonts w:ascii="Arial" w:hAnsi="Arial" w:cs="Arial"/>
          <w:b/>
          <w:sz w:val="24"/>
          <w:szCs w:val="24"/>
        </w:rPr>
      </w:pPr>
    </w:p>
    <w:p w:rsidR="007241EE" w:rsidRDefault="007241EE" w:rsidP="00DA1650">
      <w:pPr>
        <w:rPr>
          <w:rFonts w:ascii="Arial" w:hAnsi="Arial" w:cs="Arial"/>
          <w:b/>
          <w:sz w:val="24"/>
          <w:szCs w:val="24"/>
        </w:rPr>
      </w:pPr>
      <w:r>
        <w:rPr>
          <w:rFonts w:ascii="Arial" w:hAnsi="Arial" w:cs="Arial"/>
          <w:b/>
          <w:sz w:val="24"/>
          <w:szCs w:val="24"/>
        </w:rPr>
        <w:lastRenderedPageBreak/>
        <w:t>Cumulative performance:</w:t>
      </w:r>
    </w:p>
    <w:p w:rsidR="00DA1650" w:rsidRDefault="00DA1650" w:rsidP="00DA1650">
      <w:pPr>
        <w:rPr>
          <w:rFonts w:ascii="Arial" w:hAnsi="Arial" w:cs="Arial"/>
          <w:b/>
          <w:sz w:val="24"/>
          <w:szCs w:val="24"/>
        </w:rPr>
      </w:pPr>
    </w:p>
    <w:p w:rsidR="007241EE" w:rsidRDefault="007241EE" w:rsidP="007241EE">
      <w:pPr>
        <w:pStyle w:val="ListParagraph"/>
        <w:numPr>
          <w:ilvl w:val="0"/>
          <w:numId w:val="34"/>
        </w:numPr>
        <w:spacing w:after="160" w:line="259" w:lineRule="auto"/>
        <w:rPr>
          <w:rFonts w:ascii="Arial" w:hAnsi="Arial" w:cs="Arial"/>
          <w:sz w:val="24"/>
          <w:szCs w:val="24"/>
        </w:rPr>
      </w:pPr>
      <w:r>
        <w:rPr>
          <w:rFonts w:ascii="Arial" w:hAnsi="Arial" w:cs="Arial"/>
          <w:sz w:val="24"/>
          <w:szCs w:val="24"/>
        </w:rPr>
        <w:t xml:space="preserve">There have been a total of 1,068 jobs associated with commercial floorspace alone compared with a target of 821 jobs. </w:t>
      </w:r>
    </w:p>
    <w:p w:rsidR="007241EE" w:rsidRPr="009C3CAF" w:rsidRDefault="007241EE" w:rsidP="007241EE">
      <w:pPr>
        <w:pStyle w:val="ListParagraph"/>
        <w:numPr>
          <w:ilvl w:val="0"/>
          <w:numId w:val="34"/>
        </w:numPr>
        <w:spacing w:after="160" w:line="259" w:lineRule="auto"/>
        <w:rPr>
          <w:rFonts w:ascii="Arial" w:hAnsi="Arial" w:cs="Arial"/>
          <w:b/>
          <w:i/>
          <w:sz w:val="24"/>
          <w:szCs w:val="24"/>
        </w:rPr>
      </w:pPr>
      <w:r>
        <w:rPr>
          <w:rFonts w:ascii="Arial" w:hAnsi="Arial" w:cs="Arial"/>
          <w:sz w:val="24"/>
          <w:szCs w:val="24"/>
        </w:rPr>
        <w:t xml:space="preserve">Good jobs outputs have been created by a better than anticipated build out at key employment sites such as at Preston East and South Rings. </w:t>
      </w:r>
    </w:p>
    <w:p w:rsidR="007241EE" w:rsidRDefault="007241EE" w:rsidP="007241EE">
      <w:pPr>
        <w:rPr>
          <w:rFonts w:ascii="Arial" w:hAnsi="Arial" w:cs="Arial"/>
          <w:sz w:val="24"/>
          <w:szCs w:val="24"/>
        </w:rPr>
      </w:pPr>
      <w:r w:rsidRPr="009C3CAF">
        <w:rPr>
          <w:rFonts w:ascii="Arial" w:hAnsi="Arial" w:cs="Arial"/>
          <w:sz w:val="24"/>
          <w:szCs w:val="24"/>
        </w:rPr>
        <w:t xml:space="preserve">Lettings at existing premises continue to perform well, complementing these jobs figures.   The main risks and mitigation are largely linked to the delivery of the commercial sites, which are currently progressing well. </w:t>
      </w:r>
    </w:p>
    <w:p w:rsidR="00DA1650" w:rsidRPr="009C3CAF" w:rsidRDefault="00DA1650" w:rsidP="007241EE">
      <w:pPr>
        <w:rPr>
          <w:rFonts w:ascii="Arial" w:hAnsi="Arial" w:cs="Arial"/>
          <w:sz w:val="24"/>
          <w:szCs w:val="24"/>
        </w:rPr>
      </w:pPr>
    </w:p>
    <w:p w:rsidR="007241EE" w:rsidRDefault="007241EE" w:rsidP="007241EE">
      <w:pPr>
        <w:tabs>
          <w:tab w:val="left" w:pos="426"/>
        </w:tabs>
        <w:rPr>
          <w:rFonts w:ascii="Arial" w:hAnsi="Arial" w:cs="Arial"/>
          <w:sz w:val="24"/>
          <w:szCs w:val="24"/>
        </w:rPr>
      </w:pPr>
      <w:r w:rsidRPr="009C3CAF">
        <w:rPr>
          <w:rFonts w:ascii="Arial" w:hAnsi="Arial" w:cs="Arial"/>
          <w:sz w:val="24"/>
          <w:szCs w:val="24"/>
        </w:rPr>
        <w:t>Outputs will continue to be focussed on these established sites, whilst the development of mixed-use sites and other large employment sites will support the next phase of jobs outputs.</w:t>
      </w:r>
    </w:p>
    <w:p w:rsidR="00DA1650" w:rsidRPr="009C3CAF" w:rsidRDefault="00DA1650" w:rsidP="007241EE">
      <w:pPr>
        <w:tabs>
          <w:tab w:val="left" w:pos="426"/>
        </w:tabs>
        <w:rPr>
          <w:rFonts w:ascii="Arial" w:hAnsi="Arial" w:cs="Arial"/>
          <w:sz w:val="24"/>
          <w:szCs w:val="24"/>
        </w:rPr>
      </w:pPr>
    </w:p>
    <w:p w:rsidR="007241EE" w:rsidRDefault="007241EE" w:rsidP="007241EE">
      <w:pPr>
        <w:tabs>
          <w:tab w:val="left" w:pos="426"/>
        </w:tabs>
        <w:rPr>
          <w:rFonts w:ascii="Arial" w:hAnsi="Arial" w:cs="Arial"/>
          <w:sz w:val="24"/>
          <w:szCs w:val="24"/>
        </w:rPr>
      </w:pPr>
      <w:r w:rsidRPr="009C3CAF">
        <w:rPr>
          <w:rFonts w:ascii="Arial" w:hAnsi="Arial" w:cs="Arial"/>
          <w:sz w:val="24"/>
          <w:szCs w:val="24"/>
        </w:rPr>
        <w:t>As additional mitigation, and specific to skills and employment, the Central Lancashire Authorities have consulted on a draft Supplementary Planning Document on Employment and Skills which is aimed at pushing the Social Value agenda.  See section 6 below.</w:t>
      </w:r>
    </w:p>
    <w:p w:rsidR="00DA1650" w:rsidRDefault="00DA1650" w:rsidP="007241EE">
      <w:pPr>
        <w:tabs>
          <w:tab w:val="left" w:pos="426"/>
        </w:tabs>
        <w:rPr>
          <w:rFonts w:ascii="Arial" w:hAnsi="Arial" w:cs="Arial"/>
          <w:sz w:val="24"/>
          <w:szCs w:val="24"/>
        </w:rPr>
      </w:pPr>
    </w:p>
    <w:p w:rsidR="007241EE" w:rsidRDefault="007241EE" w:rsidP="007241EE">
      <w:pPr>
        <w:ind w:left="284" w:hanging="426"/>
        <w:rPr>
          <w:rFonts w:ascii="Arial" w:hAnsi="Arial" w:cs="Arial"/>
          <w:sz w:val="24"/>
          <w:szCs w:val="24"/>
        </w:rPr>
      </w:pPr>
      <w:r w:rsidRPr="00593596">
        <w:rPr>
          <w:rFonts w:ascii="Arial" w:hAnsi="Arial" w:cs="Arial"/>
          <w:sz w:val="24"/>
          <w:szCs w:val="24"/>
        </w:rPr>
        <w:t>Table 4 below provides a breakdown of jobs targets and outputs</w:t>
      </w:r>
      <w:r>
        <w:rPr>
          <w:rFonts w:ascii="Arial" w:hAnsi="Arial" w:cs="Arial"/>
          <w:sz w:val="24"/>
          <w:szCs w:val="24"/>
        </w:rPr>
        <w:t>.</w:t>
      </w:r>
    </w:p>
    <w:p w:rsidR="00DA1650" w:rsidRPr="00593596" w:rsidRDefault="00DA1650" w:rsidP="007241EE">
      <w:pPr>
        <w:ind w:left="284" w:hanging="426"/>
        <w:rPr>
          <w:rFonts w:ascii="Arial" w:hAnsi="Arial" w:cs="Arial"/>
          <w:sz w:val="24"/>
          <w:szCs w:val="24"/>
        </w:rPr>
      </w:pPr>
    </w:p>
    <w:p w:rsidR="007241EE" w:rsidRDefault="007241EE" w:rsidP="007241EE">
      <w:pPr>
        <w:ind w:left="284" w:hanging="426"/>
        <w:rPr>
          <w:rFonts w:ascii="Arial" w:hAnsi="Arial" w:cs="Arial"/>
          <w:b/>
          <w:sz w:val="24"/>
          <w:szCs w:val="24"/>
        </w:rPr>
      </w:pPr>
      <w:r>
        <w:rPr>
          <w:rFonts w:ascii="Arial" w:hAnsi="Arial" w:cs="Arial"/>
          <w:b/>
          <w:sz w:val="24"/>
          <w:szCs w:val="24"/>
        </w:rPr>
        <w:t>Table 4:  Jobs – outputs</w:t>
      </w:r>
    </w:p>
    <w:tbl>
      <w:tblPr>
        <w:tblStyle w:val="TableGrid1"/>
        <w:tblW w:w="5000" w:type="pct"/>
        <w:tblLayout w:type="fixed"/>
        <w:tblLook w:val="04A0" w:firstRow="1" w:lastRow="0" w:firstColumn="1" w:lastColumn="0" w:noHBand="0" w:noVBand="1"/>
      </w:tblPr>
      <w:tblGrid>
        <w:gridCol w:w="3073"/>
        <w:gridCol w:w="1981"/>
        <w:gridCol w:w="1981"/>
        <w:gridCol w:w="1981"/>
      </w:tblGrid>
      <w:tr w:rsidR="007241EE" w:rsidTr="008F32CB">
        <w:tc>
          <w:tcPr>
            <w:tcW w:w="3073"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b/>
                <w:sz w:val="24"/>
                <w:szCs w:val="24"/>
              </w:rPr>
            </w:pPr>
            <w:r>
              <w:rPr>
                <w:rFonts w:ascii="Arial" w:hAnsi="Arial" w:cs="Arial"/>
                <w:b/>
                <w:sz w:val="24"/>
                <w:szCs w:val="24"/>
              </w:rPr>
              <w:t>Jobs outputs</w:t>
            </w:r>
          </w:p>
        </w:tc>
        <w:tc>
          <w:tcPr>
            <w:tcW w:w="1981"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b/>
                <w:sz w:val="24"/>
                <w:szCs w:val="24"/>
              </w:rPr>
            </w:pPr>
            <w:r>
              <w:rPr>
                <w:rFonts w:ascii="Arial" w:hAnsi="Arial" w:cs="Arial"/>
                <w:b/>
                <w:sz w:val="24"/>
                <w:szCs w:val="24"/>
              </w:rPr>
              <w:t>16/17 Trajectory</w:t>
            </w:r>
          </w:p>
        </w:tc>
        <w:tc>
          <w:tcPr>
            <w:tcW w:w="1981"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b/>
                <w:sz w:val="24"/>
                <w:szCs w:val="24"/>
              </w:rPr>
            </w:pPr>
            <w:r>
              <w:rPr>
                <w:rFonts w:ascii="Arial" w:hAnsi="Arial" w:cs="Arial"/>
                <w:b/>
                <w:sz w:val="24"/>
                <w:szCs w:val="24"/>
              </w:rPr>
              <w:t>16/17 Actual</w:t>
            </w:r>
          </w:p>
        </w:tc>
        <w:tc>
          <w:tcPr>
            <w:tcW w:w="1981"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b/>
                <w:sz w:val="24"/>
                <w:szCs w:val="24"/>
              </w:rPr>
            </w:pPr>
            <w:r>
              <w:rPr>
                <w:rFonts w:ascii="Arial" w:hAnsi="Arial" w:cs="Arial"/>
                <w:b/>
                <w:sz w:val="24"/>
                <w:szCs w:val="24"/>
              </w:rPr>
              <w:t xml:space="preserve">  All Years Cumulative Variance </w:t>
            </w:r>
          </w:p>
        </w:tc>
      </w:tr>
      <w:tr w:rsidR="007241EE" w:rsidTr="008F32CB">
        <w:tc>
          <w:tcPr>
            <w:tcW w:w="3073"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4"/>
                <w:szCs w:val="24"/>
              </w:rPr>
            </w:pPr>
            <w:r>
              <w:rPr>
                <w:rFonts w:ascii="Arial" w:hAnsi="Arial" w:cs="Arial"/>
                <w:sz w:val="24"/>
                <w:szCs w:val="24"/>
              </w:rPr>
              <w:t>Jobs accommodated</w:t>
            </w:r>
          </w:p>
          <w:p w:rsidR="007241EE" w:rsidRDefault="007241EE" w:rsidP="007241EE">
            <w:pPr>
              <w:numPr>
                <w:ilvl w:val="0"/>
                <w:numId w:val="11"/>
              </w:numPr>
              <w:rPr>
                <w:rFonts w:ascii="Arial" w:hAnsi="Arial" w:cs="Arial"/>
                <w:sz w:val="24"/>
                <w:szCs w:val="24"/>
              </w:rPr>
            </w:pPr>
            <w:r>
              <w:rPr>
                <w:rFonts w:ascii="Arial" w:hAnsi="Arial" w:cs="Arial"/>
                <w:sz w:val="24"/>
                <w:szCs w:val="24"/>
              </w:rPr>
              <w:t>Via commercial floorspace completions*</w:t>
            </w:r>
          </w:p>
        </w:tc>
        <w:tc>
          <w:tcPr>
            <w:tcW w:w="1981"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sz w:val="24"/>
                <w:szCs w:val="24"/>
              </w:rPr>
              <w:t>633</w:t>
            </w:r>
            <w:r>
              <w:rPr>
                <w:rFonts w:ascii="Arial" w:hAnsi="Arial" w:cs="Arial"/>
                <w:sz w:val="24"/>
                <w:szCs w:val="24"/>
                <w:highlight w:val="cyan"/>
              </w:rPr>
              <w:t xml:space="preserve"> </w:t>
            </w:r>
          </w:p>
        </w:tc>
        <w:tc>
          <w:tcPr>
            <w:tcW w:w="1981"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sz w:val="24"/>
                <w:szCs w:val="24"/>
              </w:rPr>
              <w:t>844</w:t>
            </w:r>
          </w:p>
        </w:tc>
        <w:tc>
          <w:tcPr>
            <w:tcW w:w="1981"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sz w:val="24"/>
                <w:szCs w:val="24"/>
              </w:rPr>
              <w:t>+247</w:t>
            </w:r>
          </w:p>
        </w:tc>
      </w:tr>
      <w:tr w:rsidR="007241EE" w:rsidTr="008F32CB">
        <w:tc>
          <w:tcPr>
            <w:tcW w:w="3073" w:type="dxa"/>
            <w:tcBorders>
              <w:top w:val="single" w:sz="4" w:space="0" w:color="auto"/>
              <w:left w:val="single" w:sz="4" w:space="0" w:color="auto"/>
              <w:bottom w:val="single" w:sz="4" w:space="0" w:color="auto"/>
              <w:right w:val="single" w:sz="4" w:space="0" w:color="auto"/>
            </w:tcBorders>
            <w:hideMark/>
          </w:tcPr>
          <w:p w:rsidR="007241EE" w:rsidRDefault="007241EE" w:rsidP="007241EE">
            <w:pPr>
              <w:numPr>
                <w:ilvl w:val="0"/>
                <w:numId w:val="11"/>
              </w:numPr>
              <w:rPr>
                <w:rFonts w:ascii="Arial" w:hAnsi="Arial" w:cs="Arial"/>
                <w:sz w:val="24"/>
                <w:szCs w:val="24"/>
              </w:rPr>
            </w:pPr>
            <w:r>
              <w:rPr>
                <w:rFonts w:ascii="Arial" w:hAnsi="Arial" w:cs="Arial"/>
                <w:sz w:val="24"/>
                <w:szCs w:val="24"/>
              </w:rPr>
              <w:t xml:space="preserve">Construction jobs connected to Capital Investment** </w:t>
            </w:r>
          </w:p>
        </w:tc>
        <w:tc>
          <w:tcPr>
            <w:tcW w:w="1981"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sz w:val="24"/>
                <w:szCs w:val="24"/>
              </w:rPr>
              <w:t>457</w:t>
            </w:r>
          </w:p>
        </w:tc>
        <w:tc>
          <w:tcPr>
            <w:tcW w:w="1981"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sz w:val="24"/>
                <w:szCs w:val="24"/>
              </w:rPr>
              <w:t>526</w:t>
            </w:r>
          </w:p>
        </w:tc>
        <w:tc>
          <w:tcPr>
            <w:tcW w:w="1981"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sz w:val="24"/>
                <w:szCs w:val="24"/>
              </w:rPr>
              <w:t>+165</w:t>
            </w:r>
          </w:p>
        </w:tc>
      </w:tr>
      <w:tr w:rsidR="007241EE" w:rsidTr="008F32CB">
        <w:tc>
          <w:tcPr>
            <w:tcW w:w="3073" w:type="dxa"/>
            <w:tcBorders>
              <w:top w:val="single" w:sz="4" w:space="0" w:color="auto"/>
              <w:left w:val="single" w:sz="4" w:space="0" w:color="auto"/>
              <w:bottom w:val="single" w:sz="4" w:space="0" w:color="auto"/>
              <w:right w:val="single" w:sz="4" w:space="0" w:color="auto"/>
            </w:tcBorders>
            <w:hideMark/>
          </w:tcPr>
          <w:p w:rsidR="007241EE" w:rsidRDefault="007241EE" w:rsidP="007241EE">
            <w:pPr>
              <w:numPr>
                <w:ilvl w:val="0"/>
                <w:numId w:val="11"/>
              </w:numPr>
              <w:rPr>
                <w:rFonts w:ascii="Arial" w:hAnsi="Arial" w:cs="Arial"/>
                <w:sz w:val="24"/>
                <w:szCs w:val="24"/>
              </w:rPr>
            </w:pPr>
            <w:r>
              <w:rPr>
                <w:rFonts w:ascii="Arial" w:hAnsi="Arial" w:cs="Arial"/>
                <w:sz w:val="24"/>
                <w:szCs w:val="24"/>
              </w:rPr>
              <w:t>Jobs associated with existing floorspace</w:t>
            </w:r>
          </w:p>
        </w:tc>
        <w:tc>
          <w:tcPr>
            <w:tcW w:w="1981"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sz w:val="24"/>
                <w:szCs w:val="24"/>
              </w:rPr>
              <w:t>n/a</w:t>
            </w:r>
          </w:p>
        </w:tc>
        <w:tc>
          <w:tcPr>
            <w:tcW w:w="1981"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sz w:val="24"/>
                <w:szCs w:val="24"/>
              </w:rPr>
              <w:t>2,201</w:t>
            </w:r>
          </w:p>
        </w:tc>
        <w:tc>
          <w:tcPr>
            <w:tcW w:w="1981" w:type="dxa"/>
            <w:tcBorders>
              <w:top w:val="single" w:sz="4" w:space="0" w:color="auto"/>
              <w:left w:val="single" w:sz="4" w:space="0" w:color="auto"/>
              <w:bottom w:val="single" w:sz="4" w:space="0" w:color="auto"/>
              <w:right w:val="single" w:sz="4" w:space="0" w:color="auto"/>
            </w:tcBorders>
            <w:hideMark/>
          </w:tcPr>
          <w:p w:rsidR="007241EE" w:rsidRDefault="007241EE" w:rsidP="008F32CB">
            <w:pPr>
              <w:jc w:val="center"/>
              <w:rPr>
                <w:rFonts w:ascii="Arial" w:hAnsi="Arial" w:cs="Arial"/>
                <w:sz w:val="24"/>
                <w:szCs w:val="24"/>
                <w:highlight w:val="cyan"/>
              </w:rPr>
            </w:pPr>
            <w:r>
              <w:rPr>
                <w:rFonts w:ascii="Arial" w:hAnsi="Arial" w:cs="Arial"/>
                <w:sz w:val="24"/>
                <w:szCs w:val="24"/>
              </w:rPr>
              <w:t>n/a</w:t>
            </w:r>
          </w:p>
        </w:tc>
      </w:tr>
    </w:tbl>
    <w:p w:rsidR="007241EE" w:rsidRDefault="007241EE" w:rsidP="007241EE">
      <w:pPr>
        <w:ind w:left="284" w:hanging="426"/>
      </w:pPr>
      <w:r>
        <w:t>* Gross jobs based on an average of 43 sq m per job, as per CLG guidance.</w:t>
      </w:r>
    </w:p>
    <w:p w:rsidR="00DA1650" w:rsidRDefault="007241EE" w:rsidP="00DA1650">
      <w:pPr>
        <w:ind w:left="284" w:hanging="426"/>
      </w:pPr>
      <w:r>
        <w:t>** Based on one job per £86,945 of capital investment</w:t>
      </w:r>
    </w:p>
    <w:p w:rsidR="00DA1650" w:rsidRDefault="00DA1650" w:rsidP="00DA1650">
      <w:pPr>
        <w:ind w:left="284" w:hanging="426"/>
      </w:pPr>
    </w:p>
    <w:p w:rsidR="007241EE" w:rsidRPr="00DA1650" w:rsidRDefault="007241EE" w:rsidP="00DA1650">
      <w:pPr>
        <w:ind w:left="284" w:hanging="426"/>
      </w:pPr>
      <w:r>
        <w:rPr>
          <w:rFonts w:ascii="Arial" w:hAnsi="Arial" w:cs="Arial"/>
          <w:b/>
          <w:sz w:val="24"/>
          <w:szCs w:val="24"/>
        </w:rPr>
        <w:t>Employment and Skills</w:t>
      </w:r>
    </w:p>
    <w:p w:rsidR="00DA1650" w:rsidRDefault="00DA1650" w:rsidP="00DA1650">
      <w:pPr>
        <w:ind w:left="-142"/>
        <w:rPr>
          <w:rFonts w:ascii="Arial" w:hAnsi="Arial" w:cs="Arial"/>
          <w:b/>
          <w:sz w:val="24"/>
          <w:szCs w:val="24"/>
        </w:rPr>
      </w:pPr>
    </w:p>
    <w:p w:rsidR="007241EE" w:rsidRDefault="007241EE" w:rsidP="00DA1650">
      <w:pPr>
        <w:ind w:left="-142"/>
        <w:rPr>
          <w:rFonts w:ascii="Arial" w:hAnsi="Arial" w:cs="Arial"/>
          <w:sz w:val="24"/>
          <w:szCs w:val="24"/>
        </w:rPr>
      </w:pPr>
      <w:r>
        <w:rPr>
          <w:rFonts w:ascii="Arial" w:hAnsi="Arial" w:cs="Arial"/>
          <w:sz w:val="24"/>
          <w:szCs w:val="24"/>
        </w:rPr>
        <w:t xml:space="preserve">In most cases the outputs in relation to employment and skills are progressing as expected.  Apprenticeships, graduates into placements, internships and jobs overall have increased,   although the number of graduates into Construction and Engineering graduate jobs declined up to year 2014/15.  Figures relating to this are currently being compiled.  </w:t>
      </w:r>
    </w:p>
    <w:p w:rsidR="007241EE" w:rsidRDefault="007241EE" w:rsidP="007241EE">
      <w:pPr>
        <w:ind w:left="-142"/>
        <w:rPr>
          <w:rFonts w:ascii="Arial" w:hAnsi="Arial" w:cs="Arial"/>
          <w:sz w:val="24"/>
          <w:szCs w:val="24"/>
        </w:rPr>
      </w:pPr>
      <w:r>
        <w:rPr>
          <w:rFonts w:ascii="Arial" w:hAnsi="Arial" w:cs="Arial"/>
          <w:sz w:val="24"/>
          <w:szCs w:val="24"/>
        </w:rPr>
        <w:lastRenderedPageBreak/>
        <w:t>Table 5 below provides a breakdown of the Employment and skills targets and outputs.</w:t>
      </w:r>
    </w:p>
    <w:p w:rsidR="00DA1650" w:rsidRDefault="00DA1650" w:rsidP="007241EE">
      <w:pPr>
        <w:ind w:left="-142"/>
        <w:rPr>
          <w:rFonts w:ascii="Arial" w:hAnsi="Arial" w:cs="Arial"/>
          <w:sz w:val="24"/>
          <w:szCs w:val="24"/>
        </w:rPr>
      </w:pPr>
    </w:p>
    <w:p w:rsidR="007241EE" w:rsidRDefault="007241EE" w:rsidP="007241EE">
      <w:pPr>
        <w:ind w:left="284" w:hanging="426"/>
        <w:rPr>
          <w:rFonts w:ascii="Arial" w:hAnsi="Arial" w:cs="Arial"/>
          <w:b/>
          <w:sz w:val="24"/>
          <w:szCs w:val="24"/>
        </w:rPr>
      </w:pPr>
      <w:r>
        <w:rPr>
          <w:rFonts w:ascii="Arial" w:hAnsi="Arial" w:cs="Arial"/>
          <w:b/>
          <w:sz w:val="24"/>
          <w:szCs w:val="24"/>
        </w:rPr>
        <w:t>Table 5:  Employment and Skills metrics</w:t>
      </w:r>
    </w:p>
    <w:tbl>
      <w:tblPr>
        <w:tblStyle w:val="TableGrid"/>
        <w:tblW w:w="9782" w:type="dxa"/>
        <w:tblInd w:w="-289" w:type="dxa"/>
        <w:tblLook w:val="04A0" w:firstRow="1" w:lastRow="0" w:firstColumn="1" w:lastColumn="0" w:noHBand="0" w:noVBand="1"/>
      </w:tblPr>
      <w:tblGrid>
        <w:gridCol w:w="4624"/>
        <w:gridCol w:w="1161"/>
        <w:gridCol w:w="1006"/>
        <w:gridCol w:w="1006"/>
        <w:gridCol w:w="979"/>
        <w:gridCol w:w="1006"/>
      </w:tblGrid>
      <w:tr w:rsidR="007241EE" w:rsidTr="008F32CB">
        <w:tc>
          <w:tcPr>
            <w:tcW w:w="4624"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b/>
                <w:sz w:val="20"/>
                <w:szCs w:val="20"/>
              </w:rPr>
            </w:pPr>
            <w:r>
              <w:rPr>
                <w:rFonts w:ascii="Arial" w:hAnsi="Arial" w:cs="Arial"/>
                <w:b/>
                <w:sz w:val="20"/>
                <w:szCs w:val="20"/>
              </w:rPr>
              <w:t>Output</w:t>
            </w:r>
          </w:p>
        </w:tc>
        <w:tc>
          <w:tcPr>
            <w:tcW w:w="1161"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b/>
                <w:sz w:val="20"/>
                <w:szCs w:val="20"/>
              </w:rPr>
            </w:pPr>
            <w:r>
              <w:rPr>
                <w:rFonts w:ascii="Arial" w:hAnsi="Arial" w:cs="Arial"/>
                <w:b/>
                <w:sz w:val="20"/>
                <w:szCs w:val="20"/>
              </w:rPr>
              <w:t>Baseline:</w:t>
            </w:r>
          </w:p>
          <w:p w:rsidR="007241EE" w:rsidRDefault="007241EE" w:rsidP="008F32CB">
            <w:pPr>
              <w:rPr>
                <w:rFonts w:ascii="Arial" w:hAnsi="Arial" w:cs="Arial"/>
                <w:b/>
                <w:sz w:val="20"/>
                <w:szCs w:val="20"/>
              </w:rPr>
            </w:pPr>
            <w:r>
              <w:rPr>
                <w:rFonts w:ascii="Arial" w:hAnsi="Arial" w:cs="Arial"/>
                <w:b/>
                <w:sz w:val="20"/>
                <w:szCs w:val="20"/>
              </w:rPr>
              <w:t>Academic Year 2012/13</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b/>
                <w:sz w:val="20"/>
                <w:szCs w:val="20"/>
              </w:rPr>
            </w:pPr>
            <w:r>
              <w:rPr>
                <w:rFonts w:ascii="Arial" w:hAnsi="Arial" w:cs="Arial"/>
                <w:b/>
                <w:sz w:val="20"/>
                <w:szCs w:val="20"/>
              </w:rPr>
              <w:t xml:space="preserve">Actual </w:t>
            </w:r>
          </w:p>
          <w:p w:rsidR="007241EE" w:rsidRDefault="007241EE" w:rsidP="008F32CB">
            <w:pPr>
              <w:rPr>
                <w:rFonts w:ascii="Arial" w:hAnsi="Arial" w:cs="Arial"/>
                <w:b/>
                <w:sz w:val="20"/>
                <w:szCs w:val="20"/>
              </w:rPr>
            </w:pPr>
            <w:r>
              <w:rPr>
                <w:rFonts w:ascii="Arial" w:hAnsi="Arial" w:cs="Arial"/>
                <w:b/>
                <w:sz w:val="20"/>
                <w:szCs w:val="20"/>
              </w:rPr>
              <w:t>Year 1*</w:t>
            </w:r>
          </w:p>
          <w:p w:rsidR="007241EE" w:rsidRDefault="007241EE" w:rsidP="008F32CB">
            <w:pPr>
              <w:rPr>
                <w:rFonts w:ascii="Arial" w:hAnsi="Arial" w:cs="Arial"/>
                <w:b/>
                <w:sz w:val="20"/>
                <w:szCs w:val="20"/>
              </w:rPr>
            </w:pPr>
            <w:r>
              <w:rPr>
                <w:rFonts w:ascii="Arial" w:hAnsi="Arial" w:cs="Arial"/>
                <w:b/>
                <w:sz w:val="20"/>
                <w:szCs w:val="20"/>
              </w:rPr>
              <w:t>2013/14</w:t>
            </w:r>
          </w:p>
          <w:p w:rsidR="007241EE" w:rsidRPr="000A50A9" w:rsidRDefault="007241EE" w:rsidP="008F32CB">
            <w:pPr>
              <w:rPr>
                <w:rFonts w:ascii="Arial" w:hAnsi="Arial" w:cs="Arial"/>
                <w:b/>
                <w:sz w:val="16"/>
                <w:szCs w:val="16"/>
              </w:rPr>
            </w:pP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b/>
                <w:sz w:val="20"/>
                <w:szCs w:val="20"/>
              </w:rPr>
            </w:pPr>
            <w:r>
              <w:rPr>
                <w:rFonts w:ascii="Arial" w:hAnsi="Arial" w:cs="Arial"/>
                <w:b/>
                <w:sz w:val="20"/>
                <w:szCs w:val="20"/>
              </w:rPr>
              <w:t xml:space="preserve">Actual </w:t>
            </w:r>
          </w:p>
          <w:p w:rsidR="007241EE" w:rsidRDefault="007241EE" w:rsidP="008F32CB">
            <w:pPr>
              <w:rPr>
                <w:rFonts w:ascii="Arial" w:hAnsi="Arial" w:cs="Arial"/>
                <w:b/>
                <w:sz w:val="20"/>
                <w:szCs w:val="20"/>
              </w:rPr>
            </w:pPr>
            <w:r>
              <w:rPr>
                <w:rFonts w:ascii="Arial" w:hAnsi="Arial" w:cs="Arial"/>
                <w:b/>
                <w:sz w:val="20"/>
                <w:szCs w:val="20"/>
              </w:rPr>
              <w:t>Year 2 *</w:t>
            </w:r>
          </w:p>
          <w:p w:rsidR="007241EE" w:rsidRDefault="007241EE" w:rsidP="008F32CB">
            <w:pPr>
              <w:rPr>
                <w:rFonts w:ascii="Arial" w:hAnsi="Arial" w:cs="Arial"/>
                <w:b/>
                <w:sz w:val="20"/>
                <w:szCs w:val="20"/>
              </w:rPr>
            </w:pPr>
            <w:r>
              <w:rPr>
                <w:rFonts w:ascii="Arial" w:hAnsi="Arial" w:cs="Arial"/>
                <w:b/>
                <w:sz w:val="20"/>
                <w:szCs w:val="20"/>
              </w:rPr>
              <w:t>2014/15</w:t>
            </w:r>
          </w:p>
        </w:tc>
        <w:tc>
          <w:tcPr>
            <w:tcW w:w="979"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b/>
                <w:sz w:val="20"/>
                <w:szCs w:val="20"/>
              </w:rPr>
            </w:pPr>
            <w:r>
              <w:rPr>
                <w:rFonts w:ascii="Arial" w:hAnsi="Arial" w:cs="Arial"/>
                <w:b/>
                <w:sz w:val="20"/>
                <w:szCs w:val="20"/>
              </w:rPr>
              <w:t>Target</w:t>
            </w:r>
          </w:p>
          <w:p w:rsidR="007241EE" w:rsidRDefault="007241EE" w:rsidP="008F32CB">
            <w:pPr>
              <w:rPr>
                <w:rFonts w:ascii="Arial" w:hAnsi="Arial" w:cs="Arial"/>
                <w:b/>
                <w:sz w:val="20"/>
                <w:szCs w:val="20"/>
              </w:rPr>
            </w:pPr>
            <w:r>
              <w:rPr>
                <w:rFonts w:ascii="Arial" w:hAnsi="Arial" w:cs="Arial"/>
                <w:b/>
                <w:sz w:val="20"/>
                <w:szCs w:val="20"/>
              </w:rPr>
              <w:t>Year 3*</w:t>
            </w:r>
          </w:p>
          <w:p w:rsidR="007241EE" w:rsidRDefault="007241EE" w:rsidP="008F32CB">
            <w:pPr>
              <w:rPr>
                <w:rFonts w:ascii="Arial" w:hAnsi="Arial" w:cs="Arial"/>
                <w:b/>
                <w:sz w:val="20"/>
                <w:szCs w:val="20"/>
              </w:rPr>
            </w:pPr>
            <w:r>
              <w:rPr>
                <w:rFonts w:ascii="Arial" w:hAnsi="Arial" w:cs="Arial"/>
                <w:b/>
                <w:sz w:val="20"/>
                <w:szCs w:val="20"/>
              </w:rPr>
              <w:t>2015/16</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b/>
                <w:sz w:val="20"/>
                <w:szCs w:val="20"/>
              </w:rPr>
            </w:pPr>
            <w:r>
              <w:rPr>
                <w:rFonts w:ascii="Arial" w:hAnsi="Arial" w:cs="Arial"/>
                <w:b/>
                <w:sz w:val="20"/>
                <w:szCs w:val="20"/>
              </w:rPr>
              <w:t xml:space="preserve">Actual </w:t>
            </w:r>
          </w:p>
          <w:p w:rsidR="007241EE" w:rsidRDefault="007241EE" w:rsidP="008F32CB">
            <w:pPr>
              <w:rPr>
                <w:rFonts w:ascii="Arial" w:hAnsi="Arial" w:cs="Arial"/>
                <w:b/>
                <w:sz w:val="20"/>
                <w:szCs w:val="20"/>
              </w:rPr>
            </w:pPr>
            <w:r>
              <w:rPr>
                <w:rFonts w:ascii="Arial" w:hAnsi="Arial" w:cs="Arial"/>
                <w:b/>
                <w:sz w:val="20"/>
                <w:szCs w:val="20"/>
              </w:rPr>
              <w:t>Year 3 *</w:t>
            </w:r>
          </w:p>
          <w:p w:rsidR="007241EE" w:rsidRDefault="007241EE" w:rsidP="008F32CB">
            <w:pPr>
              <w:rPr>
                <w:rFonts w:ascii="Arial" w:hAnsi="Arial" w:cs="Arial"/>
                <w:b/>
                <w:sz w:val="20"/>
                <w:szCs w:val="20"/>
              </w:rPr>
            </w:pPr>
            <w:r>
              <w:rPr>
                <w:rFonts w:ascii="Arial" w:hAnsi="Arial" w:cs="Arial"/>
                <w:b/>
                <w:sz w:val="20"/>
                <w:szCs w:val="20"/>
              </w:rPr>
              <w:t>2015/16</w:t>
            </w:r>
          </w:p>
        </w:tc>
      </w:tr>
      <w:tr w:rsidR="007241EE" w:rsidTr="008F32CB">
        <w:tc>
          <w:tcPr>
            <w:tcW w:w="4624" w:type="dxa"/>
            <w:tcBorders>
              <w:top w:val="single" w:sz="4" w:space="0" w:color="auto"/>
              <w:left w:val="single" w:sz="4" w:space="0" w:color="auto"/>
              <w:bottom w:val="single" w:sz="4" w:space="0" w:color="auto"/>
              <w:right w:val="single" w:sz="4" w:space="0" w:color="auto"/>
            </w:tcBorders>
          </w:tcPr>
          <w:p w:rsidR="007241EE" w:rsidRDefault="007241EE" w:rsidP="008F32CB">
            <w:pPr>
              <w:rPr>
                <w:rFonts w:ascii="Arial" w:hAnsi="Arial" w:cs="Arial"/>
                <w:sz w:val="20"/>
                <w:szCs w:val="20"/>
              </w:rPr>
            </w:pPr>
            <w:r>
              <w:rPr>
                <w:rFonts w:ascii="Arial" w:hAnsi="Arial" w:cs="Arial"/>
                <w:sz w:val="20"/>
                <w:szCs w:val="20"/>
              </w:rPr>
              <w:t xml:space="preserve">16-24 year olds residents of Preston and South Ribble who have started an apprenticeship in the construction sector </w:t>
            </w:r>
          </w:p>
          <w:p w:rsidR="007241EE" w:rsidRDefault="007241EE" w:rsidP="008F32CB">
            <w:pPr>
              <w:rPr>
                <w:rFonts w:ascii="Arial" w:hAnsi="Arial" w:cs="Arial"/>
                <w:sz w:val="20"/>
                <w:szCs w:val="20"/>
              </w:rPr>
            </w:pPr>
          </w:p>
          <w:p w:rsidR="007241EE" w:rsidRDefault="007241EE" w:rsidP="008F32CB">
            <w:pPr>
              <w:rPr>
                <w:rFonts w:ascii="Arial" w:hAnsi="Arial" w:cs="Arial"/>
                <w:sz w:val="20"/>
                <w:szCs w:val="20"/>
              </w:rPr>
            </w:pPr>
            <w:r>
              <w:rPr>
                <w:rFonts w:ascii="Arial" w:hAnsi="Arial" w:cs="Arial"/>
                <w:sz w:val="20"/>
                <w:szCs w:val="20"/>
              </w:rPr>
              <w:t>Source: Preston's College ESFA data</w:t>
            </w:r>
          </w:p>
        </w:tc>
        <w:tc>
          <w:tcPr>
            <w:tcW w:w="1161"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N/A</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82</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89</w:t>
            </w:r>
          </w:p>
        </w:tc>
        <w:tc>
          <w:tcPr>
            <w:tcW w:w="979"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107</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133</w:t>
            </w:r>
          </w:p>
        </w:tc>
      </w:tr>
      <w:tr w:rsidR="007241EE" w:rsidTr="008F32CB">
        <w:tc>
          <w:tcPr>
            <w:tcW w:w="4624"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16-24 year old residents of Preston and South Ribble who have started an apprenticeship (excluding construction)</w:t>
            </w:r>
          </w:p>
          <w:p w:rsidR="007241EE" w:rsidRDefault="007241EE" w:rsidP="008F32CB">
            <w:pPr>
              <w:rPr>
                <w:rFonts w:ascii="Arial" w:hAnsi="Arial" w:cs="Arial"/>
                <w:sz w:val="20"/>
                <w:szCs w:val="20"/>
              </w:rPr>
            </w:pPr>
            <w:r>
              <w:rPr>
                <w:rFonts w:ascii="Arial" w:hAnsi="Arial" w:cs="Arial"/>
                <w:sz w:val="20"/>
                <w:szCs w:val="20"/>
              </w:rPr>
              <w:t>Source: Preston's College ESFA data</w:t>
            </w:r>
          </w:p>
        </w:tc>
        <w:tc>
          <w:tcPr>
            <w:tcW w:w="1161"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N/A</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558</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585</w:t>
            </w:r>
          </w:p>
        </w:tc>
        <w:tc>
          <w:tcPr>
            <w:tcW w:w="979"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608</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638</w:t>
            </w:r>
          </w:p>
        </w:tc>
      </w:tr>
      <w:tr w:rsidR="007241EE" w:rsidTr="008F32CB">
        <w:tc>
          <w:tcPr>
            <w:tcW w:w="4624" w:type="dxa"/>
            <w:tcBorders>
              <w:top w:val="single" w:sz="4" w:space="0" w:color="auto"/>
              <w:left w:val="single" w:sz="4" w:space="0" w:color="auto"/>
              <w:bottom w:val="single" w:sz="4" w:space="0" w:color="auto"/>
              <w:right w:val="single" w:sz="4" w:space="0" w:color="auto"/>
            </w:tcBorders>
          </w:tcPr>
          <w:p w:rsidR="007241EE" w:rsidRDefault="007241EE" w:rsidP="008F32CB">
            <w:pPr>
              <w:rPr>
                <w:rFonts w:ascii="Arial" w:hAnsi="Arial" w:cs="Arial"/>
                <w:sz w:val="20"/>
                <w:szCs w:val="20"/>
              </w:rPr>
            </w:pPr>
            <w:r>
              <w:rPr>
                <w:rFonts w:ascii="Arial" w:hAnsi="Arial" w:cs="Arial"/>
                <w:sz w:val="20"/>
                <w:szCs w:val="20"/>
              </w:rPr>
              <w:t>Destinations of leavers in higher education (DLHE) into construction and engineering graduate jobs.  Additional numbers beyond the 2012/13 baseline</w:t>
            </w:r>
          </w:p>
          <w:p w:rsidR="007241EE" w:rsidRDefault="007241EE" w:rsidP="008F32CB">
            <w:pPr>
              <w:rPr>
                <w:rFonts w:ascii="Arial" w:hAnsi="Arial" w:cs="Arial"/>
                <w:sz w:val="20"/>
                <w:szCs w:val="20"/>
              </w:rPr>
            </w:pPr>
          </w:p>
          <w:p w:rsidR="007241EE" w:rsidRDefault="007241EE" w:rsidP="008F32CB">
            <w:pPr>
              <w:rPr>
                <w:rFonts w:ascii="Arial" w:hAnsi="Arial" w:cs="Arial"/>
                <w:sz w:val="20"/>
                <w:szCs w:val="20"/>
              </w:rPr>
            </w:pPr>
            <w:r>
              <w:rPr>
                <w:rFonts w:ascii="Arial" w:hAnsi="Arial" w:cs="Arial"/>
                <w:sz w:val="20"/>
                <w:szCs w:val="20"/>
              </w:rPr>
              <w:t>Source: DLHE Data</w:t>
            </w:r>
          </w:p>
        </w:tc>
        <w:tc>
          <w:tcPr>
            <w:tcW w:w="1161"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85</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116</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69</w:t>
            </w:r>
          </w:p>
        </w:tc>
        <w:tc>
          <w:tcPr>
            <w:tcW w:w="979"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5% uplift on previous year</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Data available July 31</w:t>
            </w:r>
            <w:r>
              <w:rPr>
                <w:rFonts w:ascii="Arial" w:hAnsi="Arial" w:cs="Arial"/>
                <w:sz w:val="20"/>
                <w:szCs w:val="20"/>
                <w:vertAlign w:val="superscript"/>
              </w:rPr>
              <w:t>st</w:t>
            </w:r>
            <w:r>
              <w:rPr>
                <w:rFonts w:ascii="Arial" w:hAnsi="Arial" w:cs="Arial"/>
                <w:sz w:val="20"/>
                <w:szCs w:val="20"/>
              </w:rPr>
              <w:t xml:space="preserve"> </w:t>
            </w:r>
          </w:p>
        </w:tc>
      </w:tr>
      <w:tr w:rsidR="007241EE" w:rsidTr="008F32CB">
        <w:tc>
          <w:tcPr>
            <w:tcW w:w="4624" w:type="dxa"/>
            <w:tcBorders>
              <w:top w:val="single" w:sz="4" w:space="0" w:color="auto"/>
              <w:left w:val="single" w:sz="4" w:space="0" w:color="auto"/>
              <w:bottom w:val="single" w:sz="4" w:space="0" w:color="auto"/>
              <w:right w:val="single" w:sz="4" w:space="0" w:color="auto"/>
            </w:tcBorders>
          </w:tcPr>
          <w:p w:rsidR="007241EE" w:rsidRDefault="007241EE" w:rsidP="008F32CB">
            <w:pPr>
              <w:rPr>
                <w:rFonts w:ascii="Arial" w:hAnsi="Arial" w:cs="Arial"/>
                <w:sz w:val="20"/>
                <w:szCs w:val="20"/>
              </w:rPr>
            </w:pPr>
            <w:r>
              <w:rPr>
                <w:rFonts w:ascii="Arial" w:hAnsi="Arial" w:cs="Arial"/>
                <w:sz w:val="20"/>
                <w:szCs w:val="20"/>
              </w:rPr>
              <w:t>Destinations of leavers in higher education (DLHE) into all graduate jobs.  Additional numbers beyond the 2012/13 baseline</w:t>
            </w:r>
          </w:p>
          <w:p w:rsidR="007241EE" w:rsidRDefault="007241EE" w:rsidP="008F32CB">
            <w:pPr>
              <w:rPr>
                <w:rFonts w:ascii="Arial" w:hAnsi="Arial" w:cs="Arial"/>
                <w:sz w:val="20"/>
                <w:szCs w:val="20"/>
              </w:rPr>
            </w:pPr>
          </w:p>
          <w:p w:rsidR="007241EE" w:rsidRDefault="007241EE" w:rsidP="008F32CB">
            <w:pPr>
              <w:rPr>
                <w:rFonts w:ascii="Arial" w:hAnsi="Arial" w:cs="Arial"/>
                <w:sz w:val="20"/>
                <w:szCs w:val="20"/>
              </w:rPr>
            </w:pPr>
            <w:r>
              <w:rPr>
                <w:rFonts w:ascii="Arial" w:hAnsi="Arial" w:cs="Arial"/>
                <w:sz w:val="20"/>
                <w:szCs w:val="20"/>
              </w:rPr>
              <w:t>Source: DLHE Data</w:t>
            </w:r>
          </w:p>
        </w:tc>
        <w:tc>
          <w:tcPr>
            <w:tcW w:w="1161"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4,223</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4,332</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4,118</w:t>
            </w:r>
          </w:p>
        </w:tc>
        <w:tc>
          <w:tcPr>
            <w:tcW w:w="979"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2.5% uplift year on year</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b/>
                <w:sz w:val="20"/>
                <w:szCs w:val="20"/>
              </w:rPr>
            </w:pPr>
            <w:r>
              <w:rPr>
                <w:rFonts w:ascii="Arial" w:hAnsi="Arial" w:cs="Arial"/>
                <w:sz w:val="20"/>
                <w:szCs w:val="20"/>
              </w:rPr>
              <w:t>Data available July 31</w:t>
            </w:r>
            <w:r>
              <w:rPr>
                <w:rFonts w:ascii="Arial" w:hAnsi="Arial" w:cs="Arial"/>
                <w:sz w:val="20"/>
                <w:szCs w:val="20"/>
                <w:vertAlign w:val="superscript"/>
              </w:rPr>
              <w:t>st</w:t>
            </w:r>
          </w:p>
        </w:tc>
      </w:tr>
      <w:tr w:rsidR="007241EE" w:rsidTr="008F32CB">
        <w:tc>
          <w:tcPr>
            <w:tcW w:w="4624" w:type="dxa"/>
            <w:tcBorders>
              <w:top w:val="single" w:sz="4" w:space="0" w:color="auto"/>
              <w:left w:val="single" w:sz="4" w:space="0" w:color="auto"/>
              <w:bottom w:val="single" w:sz="4" w:space="0" w:color="auto"/>
              <w:right w:val="single" w:sz="4" w:space="0" w:color="auto"/>
            </w:tcBorders>
          </w:tcPr>
          <w:p w:rsidR="007241EE" w:rsidRDefault="007241EE" w:rsidP="008F32CB">
            <w:pPr>
              <w:rPr>
                <w:rFonts w:ascii="Arial" w:hAnsi="Arial" w:cs="Arial"/>
                <w:sz w:val="20"/>
                <w:szCs w:val="20"/>
              </w:rPr>
            </w:pPr>
            <w:r>
              <w:rPr>
                <w:rFonts w:ascii="Arial" w:hAnsi="Arial" w:cs="Arial"/>
                <w:sz w:val="20"/>
                <w:szCs w:val="20"/>
              </w:rPr>
              <w:t>Graduate placements and internships across all sectors.  Additional numbers beyond the 2012/2013 baseline</w:t>
            </w:r>
          </w:p>
          <w:p w:rsidR="007241EE" w:rsidRDefault="007241EE" w:rsidP="008F32CB">
            <w:pPr>
              <w:rPr>
                <w:rFonts w:ascii="Arial" w:hAnsi="Arial" w:cs="Arial"/>
                <w:sz w:val="20"/>
                <w:szCs w:val="20"/>
              </w:rPr>
            </w:pPr>
          </w:p>
          <w:p w:rsidR="007241EE" w:rsidRDefault="007241EE" w:rsidP="008F32CB">
            <w:pPr>
              <w:rPr>
                <w:rFonts w:ascii="Arial" w:hAnsi="Arial" w:cs="Arial"/>
                <w:sz w:val="20"/>
                <w:szCs w:val="20"/>
              </w:rPr>
            </w:pPr>
            <w:r>
              <w:rPr>
                <w:rFonts w:ascii="Arial" w:hAnsi="Arial" w:cs="Arial"/>
                <w:sz w:val="20"/>
                <w:szCs w:val="20"/>
              </w:rPr>
              <w:t>Source: UCLAN</w:t>
            </w:r>
          </w:p>
        </w:tc>
        <w:tc>
          <w:tcPr>
            <w:tcW w:w="1161"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323</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476</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sz w:val="20"/>
                <w:szCs w:val="20"/>
              </w:rPr>
              <w:t>566</w:t>
            </w:r>
          </w:p>
        </w:tc>
        <w:tc>
          <w:tcPr>
            <w:tcW w:w="979"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b/>
                <w:sz w:val="20"/>
                <w:szCs w:val="20"/>
              </w:rPr>
            </w:pPr>
            <w:r>
              <w:rPr>
                <w:rFonts w:ascii="Arial" w:hAnsi="Arial" w:cs="Arial"/>
                <w:sz w:val="20"/>
                <w:szCs w:val="20"/>
              </w:rPr>
              <w:t>2% uplift year on year</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b/>
                <w:sz w:val="20"/>
                <w:szCs w:val="20"/>
              </w:rPr>
            </w:pPr>
            <w:r>
              <w:rPr>
                <w:rFonts w:ascii="Arial" w:hAnsi="Arial" w:cs="Arial"/>
                <w:sz w:val="20"/>
                <w:szCs w:val="20"/>
              </w:rPr>
              <w:t>Data available July 31</w:t>
            </w:r>
            <w:r>
              <w:rPr>
                <w:rFonts w:ascii="Arial" w:hAnsi="Arial" w:cs="Arial"/>
                <w:sz w:val="20"/>
                <w:szCs w:val="20"/>
                <w:vertAlign w:val="superscript"/>
              </w:rPr>
              <w:t>st</w:t>
            </w:r>
          </w:p>
        </w:tc>
      </w:tr>
      <w:tr w:rsidR="007241EE" w:rsidTr="008F32CB">
        <w:tc>
          <w:tcPr>
            <w:tcW w:w="4624" w:type="dxa"/>
            <w:tcBorders>
              <w:top w:val="single" w:sz="4" w:space="0" w:color="auto"/>
              <w:left w:val="single" w:sz="4" w:space="0" w:color="auto"/>
              <w:bottom w:val="single" w:sz="4" w:space="0" w:color="auto"/>
              <w:right w:val="single" w:sz="4" w:space="0" w:color="auto"/>
            </w:tcBorders>
          </w:tcPr>
          <w:p w:rsidR="007241EE" w:rsidRDefault="007241EE" w:rsidP="008F32CB">
            <w:pPr>
              <w:rPr>
                <w:rFonts w:ascii="Arial" w:hAnsi="Arial" w:cs="Arial"/>
                <w:sz w:val="20"/>
                <w:szCs w:val="20"/>
              </w:rPr>
            </w:pPr>
            <w:r>
              <w:rPr>
                <w:rFonts w:ascii="Arial" w:hAnsi="Arial" w:cs="Arial"/>
                <w:sz w:val="20"/>
                <w:szCs w:val="20"/>
              </w:rPr>
              <w:t>A reduction in the overall numbers of active job seekers, who are receiving job seekers allowance and Universal credit claimants in Preston and South Ribble.</w:t>
            </w:r>
          </w:p>
          <w:p w:rsidR="007241EE" w:rsidRDefault="007241EE" w:rsidP="008F32CB">
            <w:pPr>
              <w:rPr>
                <w:rFonts w:ascii="Arial" w:hAnsi="Arial" w:cs="Arial"/>
                <w:sz w:val="20"/>
                <w:szCs w:val="20"/>
              </w:rPr>
            </w:pPr>
          </w:p>
          <w:p w:rsidR="007241EE" w:rsidRDefault="007241EE" w:rsidP="008F32CB">
            <w:pPr>
              <w:rPr>
                <w:rFonts w:ascii="Arial" w:hAnsi="Arial" w:cs="Arial"/>
                <w:sz w:val="20"/>
                <w:szCs w:val="20"/>
              </w:rPr>
            </w:pPr>
            <w:r>
              <w:rPr>
                <w:rFonts w:ascii="Arial" w:hAnsi="Arial" w:cs="Arial"/>
                <w:sz w:val="20"/>
                <w:szCs w:val="20"/>
              </w:rPr>
              <w:t>Source: NOMIS</w:t>
            </w:r>
          </w:p>
        </w:tc>
        <w:tc>
          <w:tcPr>
            <w:tcW w:w="1161"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b/>
                <w:sz w:val="20"/>
                <w:szCs w:val="20"/>
              </w:rPr>
            </w:pPr>
            <w:r>
              <w:rPr>
                <w:rFonts w:ascii="Arial" w:hAnsi="Arial" w:cs="Arial"/>
                <w:b/>
                <w:sz w:val="20"/>
                <w:szCs w:val="20"/>
              </w:rPr>
              <w:t xml:space="preserve">April 2013 – </w:t>
            </w:r>
            <w:r>
              <w:rPr>
                <w:rFonts w:ascii="Arial" w:hAnsi="Arial" w:cs="Arial"/>
                <w:sz w:val="20"/>
                <w:szCs w:val="20"/>
              </w:rPr>
              <w:t>not available</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b/>
                <w:sz w:val="20"/>
                <w:szCs w:val="20"/>
              </w:rPr>
            </w:pPr>
            <w:r>
              <w:rPr>
                <w:rFonts w:ascii="Arial" w:hAnsi="Arial" w:cs="Arial"/>
                <w:b/>
                <w:sz w:val="20"/>
                <w:szCs w:val="20"/>
              </w:rPr>
              <w:t xml:space="preserve">April 2014 - </w:t>
            </w:r>
            <w:r>
              <w:rPr>
                <w:rFonts w:ascii="Arial" w:hAnsi="Arial" w:cs="Arial"/>
                <w:sz w:val="20"/>
                <w:szCs w:val="20"/>
              </w:rPr>
              <w:t>3705</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b/>
                <w:sz w:val="20"/>
                <w:szCs w:val="20"/>
              </w:rPr>
            </w:pPr>
            <w:r>
              <w:rPr>
                <w:rFonts w:ascii="Arial" w:hAnsi="Arial" w:cs="Arial"/>
                <w:b/>
                <w:sz w:val="20"/>
                <w:szCs w:val="20"/>
              </w:rPr>
              <w:t xml:space="preserve">April 2015 - </w:t>
            </w:r>
            <w:r>
              <w:rPr>
                <w:rFonts w:ascii="Arial" w:hAnsi="Arial" w:cs="Arial"/>
                <w:sz w:val="20"/>
                <w:szCs w:val="20"/>
              </w:rPr>
              <w:t>2760</w:t>
            </w:r>
          </w:p>
        </w:tc>
        <w:tc>
          <w:tcPr>
            <w:tcW w:w="979" w:type="dxa"/>
            <w:tcBorders>
              <w:top w:val="single" w:sz="4" w:space="0" w:color="auto"/>
              <w:left w:val="single" w:sz="4" w:space="0" w:color="auto"/>
              <w:bottom w:val="single" w:sz="4" w:space="0" w:color="auto"/>
              <w:right w:val="single" w:sz="4" w:space="0" w:color="auto"/>
            </w:tcBorders>
          </w:tcPr>
          <w:p w:rsidR="007241EE" w:rsidRDefault="007241EE" w:rsidP="008F32CB">
            <w:pPr>
              <w:rPr>
                <w:rFonts w:ascii="Arial" w:hAnsi="Arial" w:cs="Arial"/>
                <w:sz w:val="20"/>
                <w:szCs w:val="20"/>
              </w:rPr>
            </w:pPr>
          </w:p>
          <w:p w:rsidR="007241EE" w:rsidRDefault="007241EE" w:rsidP="008F32CB">
            <w:pPr>
              <w:rPr>
                <w:rFonts w:ascii="Arial" w:hAnsi="Arial" w:cs="Arial"/>
                <w:sz w:val="20"/>
                <w:szCs w:val="20"/>
              </w:rPr>
            </w:pPr>
          </w:p>
          <w:p w:rsidR="007241EE" w:rsidRDefault="007241EE" w:rsidP="008F32CB">
            <w:pPr>
              <w:rPr>
                <w:rFonts w:ascii="Arial" w:hAnsi="Arial" w:cs="Arial"/>
                <w:sz w:val="20"/>
                <w:szCs w:val="20"/>
              </w:rPr>
            </w:pPr>
            <w:r>
              <w:rPr>
                <w:rFonts w:ascii="Arial" w:hAnsi="Arial" w:cs="Arial"/>
                <w:sz w:val="20"/>
                <w:szCs w:val="20"/>
              </w:rPr>
              <w:t>-</w:t>
            </w:r>
          </w:p>
        </w:tc>
        <w:tc>
          <w:tcPr>
            <w:tcW w:w="1006" w:type="dxa"/>
            <w:tcBorders>
              <w:top w:val="single" w:sz="4" w:space="0" w:color="auto"/>
              <w:left w:val="single" w:sz="4" w:space="0" w:color="auto"/>
              <w:bottom w:val="single" w:sz="4" w:space="0" w:color="auto"/>
              <w:right w:val="single" w:sz="4" w:space="0" w:color="auto"/>
            </w:tcBorders>
            <w:hideMark/>
          </w:tcPr>
          <w:p w:rsidR="007241EE" w:rsidRDefault="007241EE" w:rsidP="008F32CB">
            <w:pPr>
              <w:rPr>
                <w:rFonts w:ascii="Arial" w:hAnsi="Arial" w:cs="Arial"/>
                <w:sz w:val="20"/>
                <w:szCs w:val="20"/>
              </w:rPr>
            </w:pPr>
            <w:r>
              <w:rPr>
                <w:rFonts w:ascii="Arial" w:hAnsi="Arial" w:cs="Arial"/>
                <w:b/>
                <w:sz w:val="20"/>
                <w:szCs w:val="20"/>
              </w:rPr>
              <w:t xml:space="preserve">April 2016 - </w:t>
            </w:r>
            <w:r>
              <w:rPr>
                <w:rFonts w:ascii="Arial" w:hAnsi="Arial" w:cs="Arial"/>
                <w:sz w:val="20"/>
                <w:szCs w:val="20"/>
              </w:rPr>
              <w:t>2990</w:t>
            </w:r>
          </w:p>
        </w:tc>
      </w:tr>
      <w:tr w:rsidR="007241EE" w:rsidTr="008F32CB">
        <w:trPr>
          <w:trHeight w:val="1672"/>
        </w:trPr>
        <w:tc>
          <w:tcPr>
            <w:tcW w:w="4624" w:type="dxa"/>
            <w:tcBorders>
              <w:top w:val="single" w:sz="4" w:space="0" w:color="auto"/>
              <w:left w:val="single" w:sz="4" w:space="0" w:color="auto"/>
              <w:bottom w:val="single" w:sz="4" w:space="0" w:color="auto"/>
              <w:right w:val="single" w:sz="4" w:space="0" w:color="auto"/>
            </w:tcBorders>
          </w:tcPr>
          <w:p w:rsidR="007241EE" w:rsidRDefault="007241EE" w:rsidP="008F32CB">
            <w:pPr>
              <w:rPr>
                <w:rFonts w:ascii="Arial" w:hAnsi="Arial" w:cs="Arial"/>
                <w:sz w:val="20"/>
                <w:szCs w:val="20"/>
              </w:rPr>
            </w:pPr>
            <w:r>
              <w:rPr>
                <w:rFonts w:ascii="Arial" w:hAnsi="Arial" w:cs="Arial"/>
                <w:sz w:val="20"/>
                <w:szCs w:val="20"/>
              </w:rPr>
              <w:t>Number of interventions/ activities promoting City Deal and construction career opportunities with:</w:t>
            </w:r>
          </w:p>
          <w:p w:rsidR="007241EE" w:rsidRDefault="007241EE" w:rsidP="007241EE">
            <w:pPr>
              <w:pStyle w:val="ListParagraph"/>
              <w:numPr>
                <w:ilvl w:val="0"/>
                <w:numId w:val="12"/>
              </w:numPr>
              <w:rPr>
                <w:rFonts w:ascii="Arial" w:hAnsi="Arial" w:cs="Arial"/>
                <w:sz w:val="20"/>
                <w:szCs w:val="20"/>
              </w:rPr>
            </w:pPr>
            <w:r>
              <w:rPr>
                <w:rFonts w:ascii="Arial" w:hAnsi="Arial" w:cs="Arial"/>
                <w:sz w:val="20"/>
                <w:szCs w:val="20"/>
              </w:rPr>
              <w:t xml:space="preserve">Young People, </w:t>
            </w:r>
          </w:p>
          <w:p w:rsidR="007241EE" w:rsidRDefault="007241EE" w:rsidP="007241EE">
            <w:pPr>
              <w:pStyle w:val="ListParagraph"/>
              <w:numPr>
                <w:ilvl w:val="0"/>
                <w:numId w:val="12"/>
              </w:numPr>
              <w:rPr>
                <w:rFonts w:ascii="Arial" w:hAnsi="Arial" w:cs="Arial"/>
                <w:sz w:val="20"/>
                <w:szCs w:val="20"/>
              </w:rPr>
            </w:pPr>
            <w:r>
              <w:rPr>
                <w:rFonts w:ascii="Arial" w:hAnsi="Arial" w:cs="Arial"/>
                <w:sz w:val="20"/>
                <w:szCs w:val="20"/>
              </w:rPr>
              <w:t>Teachers/IAG practitioners,</w:t>
            </w:r>
          </w:p>
          <w:p w:rsidR="007241EE" w:rsidRDefault="007241EE" w:rsidP="007241EE">
            <w:pPr>
              <w:pStyle w:val="ListParagraph"/>
              <w:numPr>
                <w:ilvl w:val="0"/>
                <w:numId w:val="12"/>
              </w:numPr>
              <w:rPr>
                <w:rFonts w:ascii="Arial" w:hAnsi="Arial" w:cs="Arial"/>
                <w:sz w:val="20"/>
                <w:szCs w:val="20"/>
              </w:rPr>
            </w:pPr>
            <w:r>
              <w:rPr>
                <w:rFonts w:ascii="Arial" w:hAnsi="Arial" w:cs="Arial"/>
                <w:sz w:val="20"/>
                <w:szCs w:val="20"/>
              </w:rPr>
              <w:t xml:space="preserve">Education Institutions, and </w:t>
            </w:r>
          </w:p>
          <w:p w:rsidR="007241EE" w:rsidRDefault="007241EE" w:rsidP="007241EE">
            <w:pPr>
              <w:pStyle w:val="ListParagraph"/>
              <w:numPr>
                <w:ilvl w:val="0"/>
                <w:numId w:val="12"/>
              </w:numPr>
              <w:rPr>
                <w:rFonts w:ascii="Arial" w:hAnsi="Arial" w:cs="Arial"/>
                <w:sz w:val="20"/>
                <w:szCs w:val="20"/>
              </w:rPr>
            </w:pPr>
            <w:r>
              <w:rPr>
                <w:rFonts w:ascii="Arial" w:hAnsi="Arial" w:cs="Arial"/>
                <w:sz w:val="20"/>
                <w:szCs w:val="20"/>
              </w:rPr>
              <w:t>Parents</w:t>
            </w:r>
          </w:p>
          <w:p w:rsidR="007241EE" w:rsidRDefault="007241EE" w:rsidP="008F32CB">
            <w:pPr>
              <w:pStyle w:val="ListParagraph"/>
              <w:rPr>
                <w:rFonts w:ascii="Arial" w:hAnsi="Arial" w:cs="Arial"/>
                <w:sz w:val="20"/>
                <w:szCs w:val="20"/>
              </w:rPr>
            </w:pPr>
          </w:p>
          <w:p w:rsidR="007241EE" w:rsidRDefault="007241EE" w:rsidP="008F32CB">
            <w:pPr>
              <w:rPr>
                <w:rFonts w:ascii="Arial" w:hAnsi="Arial" w:cs="Arial"/>
                <w:sz w:val="20"/>
                <w:szCs w:val="20"/>
              </w:rPr>
            </w:pPr>
            <w:r>
              <w:rPr>
                <w:rFonts w:ascii="Arial" w:hAnsi="Arial" w:cs="Arial"/>
                <w:sz w:val="20"/>
                <w:szCs w:val="20"/>
              </w:rPr>
              <w:t>Source:  Preston's College and UCLAN</w:t>
            </w:r>
          </w:p>
        </w:tc>
        <w:tc>
          <w:tcPr>
            <w:tcW w:w="1161" w:type="dxa"/>
            <w:tcBorders>
              <w:top w:val="single" w:sz="4" w:space="0" w:color="auto"/>
              <w:left w:val="single" w:sz="4" w:space="0" w:color="auto"/>
              <w:bottom w:val="single" w:sz="4" w:space="0" w:color="auto"/>
              <w:right w:val="single" w:sz="4" w:space="0" w:color="auto"/>
            </w:tcBorders>
          </w:tcPr>
          <w:p w:rsidR="007241EE" w:rsidRDefault="007241EE" w:rsidP="008F32CB">
            <w:pPr>
              <w:rPr>
                <w:rFonts w:ascii="Arial" w:hAnsi="Arial" w:cs="Arial"/>
                <w:sz w:val="20"/>
                <w:szCs w:val="20"/>
              </w:rPr>
            </w:pPr>
          </w:p>
          <w:p w:rsidR="007241EE" w:rsidRDefault="007241EE" w:rsidP="008F32CB">
            <w:pPr>
              <w:rPr>
                <w:rFonts w:ascii="Arial" w:hAnsi="Arial" w:cs="Arial"/>
                <w:sz w:val="20"/>
                <w:szCs w:val="20"/>
              </w:rPr>
            </w:pPr>
          </w:p>
          <w:p w:rsidR="007241EE" w:rsidRDefault="007241EE" w:rsidP="008F32CB">
            <w:pPr>
              <w:rPr>
                <w:rFonts w:ascii="Arial" w:hAnsi="Arial" w:cs="Arial"/>
                <w:sz w:val="20"/>
                <w:szCs w:val="20"/>
              </w:rPr>
            </w:pPr>
          </w:p>
          <w:p w:rsidR="007241EE" w:rsidRDefault="007241EE" w:rsidP="008F32CB">
            <w:pPr>
              <w:rPr>
                <w:rFonts w:ascii="Arial" w:hAnsi="Arial" w:cs="Arial"/>
                <w:sz w:val="20"/>
                <w:szCs w:val="20"/>
              </w:rPr>
            </w:pPr>
            <w:r>
              <w:rPr>
                <w:rFonts w:ascii="Arial" w:hAnsi="Arial" w:cs="Arial"/>
                <w:sz w:val="20"/>
                <w:szCs w:val="20"/>
              </w:rPr>
              <w:t>Not available</w:t>
            </w:r>
          </w:p>
        </w:tc>
        <w:tc>
          <w:tcPr>
            <w:tcW w:w="1006" w:type="dxa"/>
            <w:tcBorders>
              <w:top w:val="single" w:sz="4" w:space="0" w:color="auto"/>
              <w:left w:val="single" w:sz="4" w:space="0" w:color="auto"/>
              <w:bottom w:val="single" w:sz="4" w:space="0" w:color="auto"/>
              <w:right w:val="single" w:sz="4" w:space="0" w:color="auto"/>
            </w:tcBorders>
          </w:tcPr>
          <w:p w:rsidR="007241EE" w:rsidRDefault="007241EE" w:rsidP="008F32CB">
            <w:pPr>
              <w:rPr>
                <w:rFonts w:ascii="Arial" w:hAnsi="Arial" w:cs="Arial"/>
                <w:sz w:val="20"/>
                <w:szCs w:val="20"/>
              </w:rPr>
            </w:pPr>
          </w:p>
          <w:p w:rsidR="007241EE" w:rsidRDefault="007241EE" w:rsidP="008F32CB">
            <w:pPr>
              <w:rPr>
                <w:rFonts w:ascii="Arial" w:hAnsi="Arial" w:cs="Arial"/>
                <w:sz w:val="20"/>
                <w:szCs w:val="20"/>
              </w:rPr>
            </w:pPr>
          </w:p>
          <w:p w:rsidR="007241EE" w:rsidRDefault="007241EE" w:rsidP="008F32CB">
            <w:pPr>
              <w:rPr>
                <w:rFonts w:ascii="Arial" w:hAnsi="Arial" w:cs="Arial"/>
                <w:sz w:val="20"/>
                <w:szCs w:val="20"/>
              </w:rPr>
            </w:pPr>
          </w:p>
          <w:p w:rsidR="007241EE" w:rsidRDefault="007241EE" w:rsidP="008F32CB">
            <w:pPr>
              <w:rPr>
                <w:rFonts w:ascii="Arial" w:hAnsi="Arial" w:cs="Arial"/>
                <w:sz w:val="20"/>
                <w:szCs w:val="20"/>
              </w:rPr>
            </w:pPr>
            <w:r>
              <w:rPr>
                <w:rFonts w:ascii="Arial" w:hAnsi="Arial" w:cs="Arial"/>
                <w:sz w:val="20"/>
                <w:szCs w:val="20"/>
              </w:rPr>
              <w:t>Not available</w:t>
            </w:r>
          </w:p>
        </w:tc>
        <w:tc>
          <w:tcPr>
            <w:tcW w:w="1006" w:type="dxa"/>
            <w:tcBorders>
              <w:top w:val="single" w:sz="4" w:space="0" w:color="auto"/>
              <w:left w:val="single" w:sz="4" w:space="0" w:color="auto"/>
              <w:bottom w:val="single" w:sz="4" w:space="0" w:color="auto"/>
              <w:right w:val="single" w:sz="4" w:space="0" w:color="auto"/>
            </w:tcBorders>
          </w:tcPr>
          <w:p w:rsidR="007241EE" w:rsidRDefault="007241EE" w:rsidP="008F32CB">
            <w:pPr>
              <w:rPr>
                <w:rFonts w:ascii="Arial" w:hAnsi="Arial" w:cs="Arial"/>
                <w:sz w:val="20"/>
                <w:szCs w:val="20"/>
              </w:rPr>
            </w:pPr>
          </w:p>
          <w:p w:rsidR="007241EE" w:rsidRDefault="007241EE" w:rsidP="008F32CB">
            <w:pPr>
              <w:rPr>
                <w:rFonts w:ascii="Arial" w:hAnsi="Arial" w:cs="Arial"/>
                <w:sz w:val="20"/>
                <w:szCs w:val="20"/>
              </w:rPr>
            </w:pPr>
          </w:p>
          <w:p w:rsidR="007241EE" w:rsidRDefault="007241EE" w:rsidP="008F32CB">
            <w:pPr>
              <w:rPr>
                <w:rFonts w:ascii="Arial" w:hAnsi="Arial" w:cs="Arial"/>
                <w:sz w:val="20"/>
                <w:szCs w:val="20"/>
              </w:rPr>
            </w:pPr>
          </w:p>
          <w:p w:rsidR="007241EE" w:rsidRDefault="007241EE" w:rsidP="008F32CB">
            <w:pPr>
              <w:rPr>
                <w:rFonts w:ascii="Arial" w:hAnsi="Arial" w:cs="Arial"/>
                <w:sz w:val="20"/>
                <w:szCs w:val="20"/>
              </w:rPr>
            </w:pPr>
            <w:r>
              <w:rPr>
                <w:rFonts w:ascii="Arial" w:hAnsi="Arial" w:cs="Arial"/>
                <w:sz w:val="20"/>
                <w:szCs w:val="20"/>
              </w:rPr>
              <w:t>Not available</w:t>
            </w:r>
          </w:p>
        </w:tc>
        <w:tc>
          <w:tcPr>
            <w:tcW w:w="979" w:type="dxa"/>
            <w:tcBorders>
              <w:top w:val="single" w:sz="4" w:space="0" w:color="auto"/>
              <w:left w:val="single" w:sz="4" w:space="0" w:color="auto"/>
              <w:bottom w:val="single" w:sz="4" w:space="0" w:color="auto"/>
              <w:right w:val="single" w:sz="4" w:space="0" w:color="auto"/>
            </w:tcBorders>
          </w:tcPr>
          <w:p w:rsidR="007241EE" w:rsidRDefault="007241EE" w:rsidP="008F32CB">
            <w:pPr>
              <w:rPr>
                <w:rFonts w:ascii="Arial" w:hAnsi="Arial" w:cs="Arial"/>
                <w:b/>
                <w:sz w:val="20"/>
                <w:szCs w:val="20"/>
              </w:rPr>
            </w:pPr>
          </w:p>
          <w:p w:rsidR="007241EE" w:rsidRDefault="007241EE" w:rsidP="008F32CB">
            <w:pPr>
              <w:rPr>
                <w:rFonts w:ascii="Arial" w:hAnsi="Arial" w:cs="Arial"/>
                <w:b/>
                <w:sz w:val="20"/>
                <w:szCs w:val="20"/>
              </w:rPr>
            </w:pPr>
          </w:p>
          <w:p w:rsidR="007241EE" w:rsidRDefault="007241EE" w:rsidP="008F32CB">
            <w:pPr>
              <w:rPr>
                <w:rFonts w:ascii="Arial" w:hAnsi="Arial" w:cs="Arial"/>
                <w:b/>
                <w:sz w:val="20"/>
                <w:szCs w:val="20"/>
              </w:rPr>
            </w:pPr>
          </w:p>
          <w:p w:rsidR="007241EE" w:rsidRDefault="007241EE" w:rsidP="008F32CB">
            <w:pPr>
              <w:rPr>
                <w:rFonts w:ascii="Arial" w:hAnsi="Arial" w:cs="Arial"/>
                <w:b/>
                <w:sz w:val="20"/>
                <w:szCs w:val="20"/>
              </w:rPr>
            </w:pPr>
          </w:p>
          <w:p w:rsidR="007241EE" w:rsidRDefault="007241EE" w:rsidP="008F32CB">
            <w:pPr>
              <w:rPr>
                <w:rFonts w:ascii="Arial" w:hAnsi="Arial" w:cs="Arial"/>
                <w:b/>
                <w:sz w:val="20"/>
                <w:szCs w:val="20"/>
              </w:rPr>
            </w:pPr>
            <w:r>
              <w:rPr>
                <w:rFonts w:ascii="Arial" w:hAnsi="Arial" w:cs="Arial"/>
                <w:b/>
                <w:sz w:val="20"/>
                <w:szCs w:val="20"/>
              </w:rPr>
              <w:t>-</w:t>
            </w:r>
          </w:p>
        </w:tc>
        <w:tc>
          <w:tcPr>
            <w:tcW w:w="1006" w:type="dxa"/>
            <w:tcBorders>
              <w:top w:val="single" w:sz="4" w:space="0" w:color="auto"/>
              <w:left w:val="single" w:sz="4" w:space="0" w:color="auto"/>
              <w:bottom w:val="single" w:sz="4" w:space="0" w:color="auto"/>
              <w:right w:val="single" w:sz="4" w:space="0" w:color="auto"/>
            </w:tcBorders>
          </w:tcPr>
          <w:p w:rsidR="007241EE" w:rsidRDefault="007241EE" w:rsidP="008F32CB">
            <w:pPr>
              <w:rPr>
                <w:rFonts w:ascii="Arial" w:hAnsi="Arial" w:cs="Arial"/>
                <w:b/>
                <w:sz w:val="20"/>
                <w:szCs w:val="20"/>
              </w:rPr>
            </w:pPr>
          </w:p>
          <w:p w:rsidR="007241EE" w:rsidRDefault="007241EE" w:rsidP="008F32CB">
            <w:pPr>
              <w:rPr>
                <w:rFonts w:ascii="Arial" w:hAnsi="Arial" w:cs="Arial"/>
                <w:b/>
                <w:sz w:val="20"/>
                <w:szCs w:val="20"/>
              </w:rPr>
            </w:pPr>
          </w:p>
          <w:p w:rsidR="007241EE" w:rsidRDefault="007241EE" w:rsidP="008F32CB">
            <w:pPr>
              <w:rPr>
                <w:rFonts w:ascii="Arial" w:hAnsi="Arial" w:cs="Arial"/>
                <w:b/>
                <w:sz w:val="20"/>
                <w:szCs w:val="20"/>
              </w:rPr>
            </w:pPr>
          </w:p>
          <w:p w:rsidR="007241EE" w:rsidRDefault="007241EE" w:rsidP="008F32CB">
            <w:pPr>
              <w:rPr>
                <w:rFonts w:ascii="Arial" w:hAnsi="Arial" w:cs="Arial"/>
                <w:sz w:val="20"/>
                <w:szCs w:val="20"/>
              </w:rPr>
            </w:pPr>
            <w:r>
              <w:rPr>
                <w:rFonts w:ascii="Arial" w:hAnsi="Arial" w:cs="Arial"/>
                <w:sz w:val="20"/>
                <w:szCs w:val="20"/>
              </w:rPr>
              <w:t>A 660</w:t>
            </w:r>
          </w:p>
          <w:p w:rsidR="007241EE" w:rsidRDefault="007241EE" w:rsidP="008F32CB">
            <w:pPr>
              <w:rPr>
                <w:rFonts w:ascii="Arial" w:hAnsi="Arial" w:cs="Arial"/>
                <w:sz w:val="20"/>
                <w:szCs w:val="20"/>
              </w:rPr>
            </w:pPr>
            <w:r>
              <w:rPr>
                <w:rFonts w:ascii="Arial" w:hAnsi="Arial" w:cs="Arial"/>
                <w:sz w:val="20"/>
                <w:szCs w:val="20"/>
              </w:rPr>
              <w:t>B 150</w:t>
            </w:r>
          </w:p>
          <w:p w:rsidR="007241EE" w:rsidRDefault="007241EE" w:rsidP="008F32CB">
            <w:pPr>
              <w:rPr>
                <w:rFonts w:ascii="Arial" w:hAnsi="Arial" w:cs="Arial"/>
                <w:sz w:val="20"/>
                <w:szCs w:val="20"/>
              </w:rPr>
            </w:pPr>
            <w:r>
              <w:rPr>
                <w:rFonts w:ascii="Arial" w:hAnsi="Arial" w:cs="Arial"/>
                <w:sz w:val="20"/>
                <w:szCs w:val="20"/>
              </w:rPr>
              <w:t>C 100</w:t>
            </w:r>
          </w:p>
          <w:p w:rsidR="007241EE" w:rsidRDefault="007241EE" w:rsidP="008F32CB">
            <w:pPr>
              <w:rPr>
                <w:rFonts w:ascii="Arial" w:hAnsi="Arial" w:cs="Arial"/>
                <w:b/>
                <w:sz w:val="20"/>
                <w:szCs w:val="20"/>
              </w:rPr>
            </w:pPr>
            <w:r>
              <w:rPr>
                <w:rFonts w:ascii="Arial" w:hAnsi="Arial" w:cs="Arial"/>
                <w:sz w:val="20"/>
                <w:szCs w:val="20"/>
              </w:rPr>
              <w:t>D 70</w:t>
            </w:r>
          </w:p>
        </w:tc>
      </w:tr>
    </w:tbl>
    <w:p w:rsidR="00DA1650" w:rsidRDefault="007241EE" w:rsidP="00DA1650">
      <w:pPr>
        <w:rPr>
          <w:rFonts w:ascii="Arial" w:hAnsi="Arial" w:cs="Arial"/>
          <w:sz w:val="20"/>
          <w:szCs w:val="20"/>
        </w:rPr>
      </w:pPr>
      <w:r w:rsidRPr="000A50A9">
        <w:rPr>
          <w:rFonts w:ascii="Arial" w:hAnsi="Arial" w:cs="Arial"/>
          <w:sz w:val="20"/>
          <w:szCs w:val="20"/>
        </w:rPr>
        <w:t>*refers to academic year</w:t>
      </w:r>
    </w:p>
    <w:p w:rsidR="00DA1650" w:rsidRDefault="00DA1650" w:rsidP="00DA1650">
      <w:pPr>
        <w:rPr>
          <w:rFonts w:ascii="Arial" w:hAnsi="Arial" w:cs="Arial"/>
          <w:sz w:val="20"/>
          <w:szCs w:val="20"/>
        </w:rPr>
      </w:pPr>
    </w:p>
    <w:p w:rsidR="007241EE" w:rsidRPr="00DA1650" w:rsidRDefault="007241EE" w:rsidP="00DA1650">
      <w:pPr>
        <w:rPr>
          <w:rFonts w:ascii="Arial" w:hAnsi="Arial" w:cs="Arial"/>
          <w:sz w:val="20"/>
          <w:szCs w:val="20"/>
        </w:rPr>
      </w:pPr>
      <w:r>
        <w:rPr>
          <w:rFonts w:ascii="Arial" w:hAnsi="Arial" w:cs="Arial"/>
        </w:rPr>
        <w:t xml:space="preserve">In addition to the above, 80 businesses in Preston and South Ribble have been supported specifically through the BOOST project, and 121 associated jobs created, see table 6 below.   </w:t>
      </w:r>
    </w:p>
    <w:p w:rsidR="007241EE" w:rsidRDefault="007241EE" w:rsidP="007241EE"/>
    <w:p w:rsidR="00DA1650" w:rsidRDefault="00DA1650" w:rsidP="007241EE">
      <w:pPr>
        <w:rPr>
          <w:rFonts w:ascii="Arial" w:hAnsi="Arial" w:cs="Arial"/>
          <w:b/>
          <w:sz w:val="24"/>
          <w:szCs w:val="24"/>
        </w:rPr>
      </w:pPr>
    </w:p>
    <w:p w:rsidR="00DA1650" w:rsidRDefault="00DA1650" w:rsidP="007241EE">
      <w:pPr>
        <w:rPr>
          <w:rFonts w:ascii="Arial" w:hAnsi="Arial" w:cs="Arial"/>
          <w:b/>
          <w:sz w:val="24"/>
          <w:szCs w:val="24"/>
        </w:rPr>
      </w:pPr>
    </w:p>
    <w:p w:rsidR="00DA1650" w:rsidRDefault="00DA1650" w:rsidP="007241EE">
      <w:pPr>
        <w:rPr>
          <w:rFonts w:ascii="Arial" w:hAnsi="Arial" w:cs="Arial"/>
          <w:b/>
          <w:sz w:val="24"/>
          <w:szCs w:val="24"/>
        </w:rPr>
      </w:pPr>
    </w:p>
    <w:p w:rsidR="007241EE" w:rsidRDefault="007241EE" w:rsidP="007241EE">
      <w:pPr>
        <w:rPr>
          <w:rFonts w:ascii="Arial" w:hAnsi="Arial" w:cs="Arial"/>
          <w:b/>
          <w:sz w:val="24"/>
          <w:szCs w:val="24"/>
        </w:rPr>
      </w:pPr>
      <w:r>
        <w:rPr>
          <w:rFonts w:ascii="Arial" w:hAnsi="Arial" w:cs="Arial"/>
          <w:b/>
          <w:sz w:val="24"/>
          <w:szCs w:val="24"/>
        </w:rPr>
        <w:t xml:space="preserve">Table 6: Business support and associated jobs </w:t>
      </w:r>
    </w:p>
    <w:tbl>
      <w:tblPr>
        <w:tblStyle w:val="TableGrid"/>
        <w:tblW w:w="9782" w:type="dxa"/>
        <w:tblInd w:w="-289" w:type="dxa"/>
        <w:tblLook w:val="04A0" w:firstRow="1" w:lastRow="0" w:firstColumn="1" w:lastColumn="0" w:noHBand="0" w:noVBand="1"/>
      </w:tblPr>
      <w:tblGrid>
        <w:gridCol w:w="7819"/>
        <w:gridCol w:w="1963"/>
      </w:tblGrid>
      <w:tr w:rsidR="007241EE" w:rsidRPr="00240F9B" w:rsidTr="008F32CB">
        <w:tc>
          <w:tcPr>
            <w:tcW w:w="7819" w:type="dxa"/>
            <w:tcBorders>
              <w:top w:val="single" w:sz="4" w:space="0" w:color="auto"/>
              <w:left w:val="single" w:sz="4" w:space="0" w:color="auto"/>
              <w:bottom w:val="single" w:sz="4" w:space="0" w:color="auto"/>
              <w:right w:val="single" w:sz="4" w:space="0" w:color="auto"/>
            </w:tcBorders>
            <w:hideMark/>
          </w:tcPr>
          <w:p w:rsidR="007241EE" w:rsidRPr="00240F9B" w:rsidRDefault="007241EE" w:rsidP="008F32CB">
            <w:pPr>
              <w:rPr>
                <w:rFonts w:ascii="Arial" w:hAnsi="Arial" w:cs="Arial"/>
                <w:b/>
                <w:sz w:val="24"/>
                <w:szCs w:val="24"/>
              </w:rPr>
            </w:pPr>
            <w:r w:rsidRPr="00240F9B">
              <w:rPr>
                <w:rFonts w:ascii="Arial" w:hAnsi="Arial" w:cs="Arial"/>
                <w:b/>
                <w:sz w:val="24"/>
                <w:szCs w:val="24"/>
              </w:rPr>
              <w:t>Output</w:t>
            </w:r>
          </w:p>
        </w:tc>
        <w:tc>
          <w:tcPr>
            <w:tcW w:w="1963" w:type="dxa"/>
            <w:tcBorders>
              <w:top w:val="single" w:sz="4" w:space="0" w:color="auto"/>
              <w:left w:val="single" w:sz="4" w:space="0" w:color="auto"/>
              <w:bottom w:val="single" w:sz="4" w:space="0" w:color="auto"/>
              <w:right w:val="single" w:sz="4" w:space="0" w:color="auto"/>
            </w:tcBorders>
            <w:hideMark/>
          </w:tcPr>
          <w:p w:rsidR="007241EE" w:rsidRPr="00240F9B" w:rsidRDefault="007241EE" w:rsidP="008F32CB">
            <w:pPr>
              <w:rPr>
                <w:rFonts w:ascii="Arial" w:hAnsi="Arial" w:cs="Arial"/>
                <w:b/>
                <w:sz w:val="24"/>
                <w:szCs w:val="24"/>
              </w:rPr>
            </w:pPr>
            <w:r w:rsidRPr="00240F9B">
              <w:rPr>
                <w:rFonts w:ascii="Arial" w:hAnsi="Arial" w:cs="Arial"/>
                <w:b/>
                <w:sz w:val="24"/>
                <w:szCs w:val="24"/>
              </w:rPr>
              <w:t>2016/17</w:t>
            </w:r>
          </w:p>
        </w:tc>
      </w:tr>
      <w:tr w:rsidR="007241EE" w:rsidRPr="00240F9B" w:rsidTr="008F32CB">
        <w:tc>
          <w:tcPr>
            <w:tcW w:w="7819" w:type="dxa"/>
            <w:tcBorders>
              <w:top w:val="single" w:sz="4" w:space="0" w:color="auto"/>
              <w:left w:val="single" w:sz="4" w:space="0" w:color="auto"/>
              <w:bottom w:val="single" w:sz="4" w:space="0" w:color="auto"/>
              <w:right w:val="single" w:sz="4" w:space="0" w:color="auto"/>
            </w:tcBorders>
          </w:tcPr>
          <w:p w:rsidR="007241EE" w:rsidRPr="00240F9B" w:rsidRDefault="007241EE" w:rsidP="008F32CB">
            <w:pPr>
              <w:rPr>
                <w:rFonts w:ascii="Arial" w:hAnsi="Arial" w:cs="Arial"/>
                <w:sz w:val="24"/>
                <w:szCs w:val="24"/>
              </w:rPr>
            </w:pPr>
            <w:r w:rsidRPr="00240F9B">
              <w:rPr>
                <w:rFonts w:ascii="Arial" w:hAnsi="Arial" w:cs="Arial"/>
                <w:sz w:val="24"/>
                <w:szCs w:val="24"/>
              </w:rPr>
              <w:t>New businesses supported through BOOST</w:t>
            </w:r>
          </w:p>
          <w:p w:rsidR="007241EE" w:rsidRPr="00240F9B" w:rsidRDefault="007241EE" w:rsidP="008F32CB">
            <w:pPr>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hideMark/>
          </w:tcPr>
          <w:p w:rsidR="007241EE" w:rsidRPr="00240F9B" w:rsidRDefault="007241EE" w:rsidP="008F32CB">
            <w:pPr>
              <w:rPr>
                <w:rFonts w:ascii="Arial" w:hAnsi="Arial" w:cs="Arial"/>
                <w:sz w:val="24"/>
                <w:szCs w:val="24"/>
              </w:rPr>
            </w:pPr>
            <w:r w:rsidRPr="00240F9B">
              <w:rPr>
                <w:rFonts w:ascii="Arial" w:hAnsi="Arial" w:cs="Arial"/>
                <w:sz w:val="24"/>
                <w:szCs w:val="24"/>
              </w:rPr>
              <w:t>80</w:t>
            </w:r>
          </w:p>
        </w:tc>
      </w:tr>
      <w:tr w:rsidR="007241EE" w:rsidRPr="00240F9B" w:rsidTr="008F32CB">
        <w:tc>
          <w:tcPr>
            <w:tcW w:w="7819" w:type="dxa"/>
            <w:tcBorders>
              <w:top w:val="single" w:sz="4" w:space="0" w:color="auto"/>
              <w:left w:val="single" w:sz="4" w:space="0" w:color="auto"/>
              <w:bottom w:val="single" w:sz="4" w:space="0" w:color="auto"/>
              <w:right w:val="single" w:sz="4" w:space="0" w:color="auto"/>
            </w:tcBorders>
          </w:tcPr>
          <w:p w:rsidR="007241EE" w:rsidRPr="00240F9B" w:rsidRDefault="007241EE" w:rsidP="008F32CB">
            <w:pPr>
              <w:rPr>
                <w:rFonts w:ascii="Arial" w:hAnsi="Arial" w:cs="Arial"/>
                <w:sz w:val="24"/>
                <w:szCs w:val="24"/>
              </w:rPr>
            </w:pPr>
            <w:r w:rsidRPr="00240F9B">
              <w:rPr>
                <w:rFonts w:ascii="Arial" w:hAnsi="Arial" w:cs="Arial"/>
                <w:sz w:val="24"/>
                <w:szCs w:val="24"/>
              </w:rPr>
              <w:t xml:space="preserve">Jobs created through BOOST business support </w:t>
            </w:r>
          </w:p>
          <w:p w:rsidR="007241EE" w:rsidRPr="00240F9B" w:rsidRDefault="007241EE" w:rsidP="008F32CB">
            <w:pPr>
              <w:rPr>
                <w:rFonts w:ascii="Arial" w:hAnsi="Arial" w:cs="Arial"/>
                <w:sz w:val="24"/>
                <w:szCs w:val="24"/>
              </w:rPr>
            </w:pPr>
          </w:p>
        </w:tc>
        <w:tc>
          <w:tcPr>
            <w:tcW w:w="1963" w:type="dxa"/>
            <w:tcBorders>
              <w:top w:val="single" w:sz="4" w:space="0" w:color="auto"/>
              <w:left w:val="single" w:sz="4" w:space="0" w:color="auto"/>
              <w:bottom w:val="single" w:sz="4" w:space="0" w:color="auto"/>
              <w:right w:val="single" w:sz="4" w:space="0" w:color="auto"/>
            </w:tcBorders>
            <w:hideMark/>
          </w:tcPr>
          <w:p w:rsidR="007241EE" w:rsidRPr="00240F9B" w:rsidRDefault="007241EE" w:rsidP="008F32CB">
            <w:pPr>
              <w:rPr>
                <w:rFonts w:ascii="Arial" w:hAnsi="Arial" w:cs="Arial"/>
                <w:sz w:val="24"/>
                <w:szCs w:val="24"/>
              </w:rPr>
            </w:pPr>
            <w:r w:rsidRPr="00240F9B">
              <w:rPr>
                <w:rFonts w:ascii="Arial" w:hAnsi="Arial" w:cs="Arial"/>
                <w:sz w:val="24"/>
                <w:szCs w:val="24"/>
              </w:rPr>
              <w:t>121</w:t>
            </w:r>
          </w:p>
        </w:tc>
      </w:tr>
    </w:tbl>
    <w:p w:rsidR="007241EE" w:rsidRDefault="007241EE" w:rsidP="007241EE">
      <w:pPr>
        <w:rPr>
          <w:rFonts w:ascii="Arial" w:hAnsi="Arial" w:cs="Arial"/>
          <w:sz w:val="20"/>
          <w:szCs w:val="20"/>
        </w:rPr>
      </w:pPr>
      <w:r w:rsidRPr="005F48CC">
        <w:rPr>
          <w:rFonts w:ascii="Arial" w:hAnsi="Arial" w:cs="Arial"/>
          <w:sz w:val="20"/>
          <w:szCs w:val="20"/>
        </w:rPr>
        <w:t>Source: BOOST</w:t>
      </w:r>
    </w:p>
    <w:p w:rsidR="00DA1650" w:rsidRDefault="00DA1650" w:rsidP="00DA1650">
      <w:pPr>
        <w:rPr>
          <w:sz w:val="20"/>
          <w:szCs w:val="20"/>
        </w:rPr>
      </w:pPr>
    </w:p>
    <w:p w:rsidR="007241EE" w:rsidRDefault="007241EE" w:rsidP="00DA1650">
      <w:pPr>
        <w:rPr>
          <w:rFonts w:ascii="Arial" w:hAnsi="Arial" w:cs="Arial"/>
          <w:b/>
          <w:sz w:val="24"/>
          <w:szCs w:val="24"/>
        </w:rPr>
      </w:pPr>
      <w:r>
        <w:rPr>
          <w:rFonts w:ascii="Arial" w:hAnsi="Arial" w:cs="Arial"/>
          <w:b/>
          <w:sz w:val="24"/>
          <w:szCs w:val="24"/>
        </w:rPr>
        <w:t>How we are working to progress employment and skills in engineering and construction:</w:t>
      </w:r>
    </w:p>
    <w:p w:rsidR="00DA1650" w:rsidRDefault="00DA1650" w:rsidP="00DA1650">
      <w:pPr>
        <w:rPr>
          <w:rFonts w:ascii="Arial" w:hAnsi="Arial" w:cs="Arial"/>
          <w:b/>
          <w:sz w:val="24"/>
          <w:szCs w:val="24"/>
        </w:rPr>
      </w:pPr>
    </w:p>
    <w:p w:rsidR="007241EE" w:rsidRDefault="007241EE" w:rsidP="007241EE">
      <w:pPr>
        <w:rPr>
          <w:rFonts w:ascii="Arial" w:hAnsi="Arial" w:cs="Arial"/>
          <w:sz w:val="24"/>
          <w:szCs w:val="24"/>
        </w:rPr>
      </w:pPr>
      <w:r>
        <w:rPr>
          <w:rFonts w:ascii="Arial" w:hAnsi="Arial" w:cs="Arial"/>
          <w:sz w:val="24"/>
          <w:szCs w:val="24"/>
        </w:rPr>
        <w:t xml:space="preserve">A Skills and Employment Steering Group exists to oversee the study and development of a skills and employment action plan to target activity appropriately in the City Deal area. Additionally, UCLan are in the process of setting up an engagement group around the Masterplan with Conlon Construction, which will help them detail and plan work experience, placements, site visits and community engagement. </w:t>
      </w:r>
    </w:p>
    <w:p w:rsidR="00DA1650" w:rsidRDefault="00DA1650" w:rsidP="007241EE">
      <w:pPr>
        <w:rPr>
          <w:rFonts w:ascii="Arial" w:hAnsi="Arial" w:cs="Arial"/>
          <w:sz w:val="24"/>
          <w:szCs w:val="24"/>
        </w:rPr>
      </w:pPr>
    </w:p>
    <w:p w:rsidR="007241EE" w:rsidRDefault="007241EE" w:rsidP="007241EE">
      <w:pPr>
        <w:rPr>
          <w:rFonts w:ascii="Arial" w:hAnsi="Arial" w:cs="Arial"/>
          <w:sz w:val="24"/>
          <w:szCs w:val="24"/>
        </w:rPr>
      </w:pPr>
      <w:r>
        <w:rPr>
          <w:rFonts w:ascii="Arial" w:hAnsi="Arial" w:cs="Arial"/>
          <w:sz w:val="24"/>
          <w:szCs w:val="24"/>
        </w:rPr>
        <w:t>They are working closely with Conlon to increase the number of students receiving placements and internships which should lead to more graduates being employed in Construction and Engineering roles. In January and February 2017 students and lecturers from Foundation Year Building Surveying and Civil Engineering had on-site lectures about building foundations, site processes and job roles. For some students it was their first time on a building site. Other activities have included visits from primary school children who directed a digger driver to hook ducks out of a pool, and a visit from students studying Design, Engineering and Construction at Da</w:t>
      </w:r>
      <w:r w:rsidR="00DA1650">
        <w:rPr>
          <w:rFonts w:ascii="Arial" w:hAnsi="Arial" w:cs="Arial"/>
          <w:sz w:val="24"/>
          <w:szCs w:val="24"/>
        </w:rPr>
        <w:t>rwen Aldridge Community Academy.</w:t>
      </w:r>
    </w:p>
    <w:p w:rsidR="00DA1650" w:rsidRDefault="00DA1650" w:rsidP="007241EE">
      <w:pPr>
        <w:rPr>
          <w:rFonts w:ascii="Arial" w:hAnsi="Arial" w:cs="Arial"/>
          <w:sz w:val="24"/>
          <w:szCs w:val="24"/>
        </w:rPr>
      </w:pPr>
    </w:p>
    <w:p w:rsidR="007241EE" w:rsidRDefault="007241EE" w:rsidP="007241EE">
      <w:pPr>
        <w:rPr>
          <w:rFonts w:ascii="Arial" w:hAnsi="Arial" w:cs="Arial"/>
          <w:sz w:val="24"/>
          <w:szCs w:val="24"/>
        </w:rPr>
      </w:pPr>
      <w:r>
        <w:rPr>
          <w:rFonts w:ascii="Arial" w:hAnsi="Arial" w:cs="Arial"/>
          <w:sz w:val="24"/>
          <w:szCs w:val="24"/>
        </w:rPr>
        <w:t>There is a risk to continuing growth in apprenticeships due to the national reforms potentially destabilising the market.</w:t>
      </w:r>
      <w:r>
        <w:rPr>
          <w:sz w:val="24"/>
          <w:szCs w:val="24"/>
        </w:rPr>
        <w:t xml:space="preserve"> </w:t>
      </w:r>
      <w:r>
        <w:rPr>
          <w:rFonts w:ascii="Arial" w:hAnsi="Arial" w:cs="Arial"/>
          <w:sz w:val="24"/>
          <w:szCs w:val="24"/>
        </w:rPr>
        <w:t>Preston's College in partnership with UCLan have formed a Construction Hub with a broader group of specialist construction training providers. They are providing construction businesses with a simple route to access apprentices and training.</w:t>
      </w:r>
    </w:p>
    <w:p w:rsidR="00DA1650" w:rsidRDefault="00DA1650" w:rsidP="007241EE">
      <w:pPr>
        <w:tabs>
          <w:tab w:val="left" w:pos="426"/>
        </w:tabs>
        <w:rPr>
          <w:sz w:val="24"/>
          <w:szCs w:val="24"/>
        </w:rPr>
      </w:pPr>
    </w:p>
    <w:p w:rsidR="007241EE" w:rsidRDefault="007241EE" w:rsidP="007241EE">
      <w:pPr>
        <w:tabs>
          <w:tab w:val="left" w:pos="426"/>
        </w:tabs>
        <w:rPr>
          <w:rFonts w:ascii="Arial" w:hAnsi="Arial" w:cs="Arial"/>
          <w:sz w:val="24"/>
          <w:szCs w:val="24"/>
        </w:rPr>
      </w:pPr>
      <w:r>
        <w:rPr>
          <w:rFonts w:ascii="Arial" w:hAnsi="Arial" w:cs="Arial"/>
          <w:sz w:val="24"/>
          <w:szCs w:val="24"/>
        </w:rPr>
        <w:t xml:space="preserve">The Central Lancashire Authorities have consulted on a draft Supplementary Planning Document on Employment and Skills which aims to formalise and support the Social Value agenda. This should be adopted in summer 2017 and will ensure that opportunities for jobs, training and apprenticeships are maximised from development. </w:t>
      </w:r>
    </w:p>
    <w:p w:rsidR="00DA1650" w:rsidRDefault="00DA1650" w:rsidP="007241EE">
      <w:pPr>
        <w:tabs>
          <w:tab w:val="left" w:pos="426"/>
        </w:tabs>
        <w:rPr>
          <w:rFonts w:ascii="Arial" w:hAnsi="Arial" w:cs="Arial"/>
          <w:sz w:val="24"/>
          <w:szCs w:val="24"/>
        </w:rPr>
      </w:pPr>
    </w:p>
    <w:p w:rsidR="007241EE" w:rsidRDefault="007241EE" w:rsidP="007241EE">
      <w:pPr>
        <w:tabs>
          <w:tab w:val="left" w:pos="426"/>
        </w:tabs>
        <w:rPr>
          <w:rFonts w:ascii="Arial" w:hAnsi="Arial" w:cs="Arial"/>
          <w:sz w:val="24"/>
          <w:szCs w:val="24"/>
        </w:rPr>
      </w:pPr>
      <w:r>
        <w:rPr>
          <w:rFonts w:ascii="Arial" w:hAnsi="Arial" w:cs="Arial"/>
          <w:sz w:val="24"/>
          <w:szCs w:val="24"/>
        </w:rPr>
        <w:t>Two employment and skills case studies about City Deal at Lancashire Science Festival and the Eric Wright Learning Foundation Awards Evening, in partnership with Preston's College can be found in appendix 4a and 4b.</w:t>
      </w:r>
    </w:p>
    <w:p w:rsidR="00DA1650" w:rsidRDefault="00DA1650" w:rsidP="007241EE">
      <w:pPr>
        <w:tabs>
          <w:tab w:val="left" w:pos="426"/>
        </w:tabs>
        <w:rPr>
          <w:rFonts w:ascii="Arial" w:hAnsi="Arial" w:cs="Arial"/>
          <w:sz w:val="24"/>
          <w:szCs w:val="24"/>
        </w:rPr>
      </w:pPr>
    </w:p>
    <w:p w:rsidR="00DA1650" w:rsidRDefault="00DA1650" w:rsidP="00DA1650">
      <w:pPr>
        <w:rPr>
          <w:rFonts w:ascii="Arial" w:hAnsi="Arial" w:cs="Arial"/>
          <w:b/>
          <w:sz w:val="24"/>
          <w:szCs w:val="24"/>
        </w:rPr>
      </w:pPr>
    </w:p>
    <w:p w:rsidR="00DA1650" w:rsidRDefault="00DA1650" w:rsidP="00DA1650">
      <w:pPr>
        <w:rPr>
          <w:rFonts w:ascii="Arial" w:hAnsi="Arial" w:cs="Arial"/>
          <w:b/>
          <w:sz w:val="24"/>
          <w:szCs w:val="24"/>
        </w:rPr>
      </w:pPr>
    </w:p>
    <w:p w:rsidR="007241EE" w:rsidRDefault="007241EE" w:rsidP="00DA1650">
      <w:pPr>
        <w:rPr>
          <w:rFonts w:ascii="Arial" w:hAnsi="Arial" w:cs="Arial"/>
          <w:b/>
          <w:sz w:val="24"/>
          <w:szCs w:val="24"/>
        </w:rPr>
      </w:pPr>
      <w:r w:rsidRPr="00FE35DF">
        <w:rPr>
          <w:rFonts w:ascii="Arial" w:hAnsi="Arial" w:cs="Arial"/>
          <w:b/>
          <w:sz w:val="24"/>
          <w:szCs w:val="24"/>
        </w:rPr>
        <w:lastRenderedPageBreak/>
        <w:t>Private Sector Investment</w:t>
      </w:r>
      <w:r>
        <w:rPr>
          <w:rFonts w:ascii="Arial" w:hAnsi="Arial" w:cs="Arial"/>
          <w:b/>
          <w:sz w:val="24"/>
          <w:szCs w:val="24"/>
        </w:rPr>
        <w:t xml:space="preserve">   </w:t>
      </w:r>
    </w:p>
    <w:p w:rsidR="00DA1650" w:rsidRDefault="00DA1650" w:rsidP="00DA1650">
      <w:pPr>
        <w:rPr>
          <w:rFonts w:ascii="Arial" w:hAnsi="Arial" w:cs="Arial"/>
          <w:sz w:val="24"/>
          <w:szCs w:val="24"/>
        </w:rPr>
      </w:pPr>
    </w:p>
    <w:p w:rsidR="007241EE" w:rsidRDefault="007241EE" w:rsidP="00DA1650">
      <w:pPr>
        <w:rPr>
          <w:rFonts w:ascii="Arial" w:hAnsi="Arial" w:cs="Arial"/>
          <w:sz w:val="24"/>
          <w:szCs w:val="24"/>
        </w:rPr>
      </w:pPr>
      <w:r w:rsidRPr="003C2140">
        <w:rPr>
          <w:rFonts w:ascii="Arial" w:hAnsi="Arial" w:cs="Arial"/>
          <w:sz w:val="24"/>
          <w:szCs w:val="24"/>
        </w:rPr>
        <w:t>In 2016/17 a combined total of £</w:t>
      </w:r>
      <w:r>
        <w:rPr>
          <w:rFonts w:ascii="Arial" w:hAnsi="Arial" w:cs="Arial"/>
          <w:sz w:val="24"/>
          <w:szCs w:val="24"/>
        </w:rPr>
        <w:t>45.801m of public and private sector investment has been invested in transport infrastructure, which has resulted in the achievement of the infrastructure milestones in section 8 and the construction jobs referred to in table 4.  In addition£55m Pension fund investment has been made to date.</w:t>
      </w:r>
    </w:p>
    <w:p w:rsidR="00DA1650" w:rsidRDefault="00DA1650" w:rsidP="00DA1650">
      <w:pPr>
        <w:rPr>
          <w:rFonts w:ascii="Arial" w:hAnsi="Arial" w:cs="Arial"/>
          <w:sz w:val="24"/>
          <w:szCs w:val="24"/>
        </w:rPr>
      </w:pPr>
    </w:p>
    <w:p w:rsidR="007241EE" w:rsidRDefault="007241EE" w:rsidP="00DA1650">
      <w:pPr>
        <w:rPr>
          <w:rFonts w:ascii="Arial" w:hAnsi="Arial" w:cs="Arial"/>
          <w:sz w:val="24"/>
          <w:szCs w:val="24"/>
        </w:rPr>
      </w:pPr>
      <w:r>
        <w:rPr>
          <w:rFonts w:ascii="Arial" w:hAnsi="Arial" w:cs="Arial"/>
          <w:sz w:val="24"/>
          <w:szCs w:val="24"/>
        </w:rPr>
        <w:t>A breakdown of public/private sector investment targets and outputs is outlined in table 7 below.</w:t>
      </w:r>
    </w:p>
    <w:p w:rsidR="00DA1650" w:rsidRPr="003C2140" w:rsidRDefault="00DA1650" w:rsidP="00DA1650">
      <w:pPr>
        <w:rPr>
          <w:rFonts w:ascii="Arial" w:hAnsi="Arial" w:cs="Arial"/>
          <w:sz w:val="24"/>
          <w:szCs w:val="24"/>
        </w:rPr>
      </w:pPr>
    </w:p>
    <w:p w:rsidR="007241EE" w:rsidRDefault="007241EE" w:rsidP="007241EE">
      <w:pPr>
        <w:rPr>
          <w:rFonts w:ascii="Arial" w:hAnsi="Arial" w:cs="Arial"/>
          <w:b/>
          <w:sz w:val="24"/>
          <w:szCs w:val="24"/>
        </w:rPr>
      </w:pPr>
      <w:r>
        <w:rPr>
          <w:rFonts w:ascii="Arial" w:hAnsi="Arial" w:cs="Arial"/>
          <w:b/>
          <w:sz w:val="24"/>
          <w:szCs w:val="24"/>
        </w:rPr>
        <w:t>Table 7:  Public and private sector investment – core outputs</w:t>
      </w:r>
    </w:p>
    <w:tbl>
      <w:tblPr>
        <w:tblStyle w:val="TableGrid1"/>
        <w:tblW w:w="5000" w:type="pct"/>
        <w:tblLayout w:type="fixed"/>
        <w:tblLook w:val="04A0" w:firstRow="1" w:lastRow="0" w:firstColumn="1" w:lastColumn="0" w:noHBand="0" w:noVBand="1"/>
      </w:tblPr>
      <w:tblGrid>
        <w:gridCol w:w="2656"/>
        <w:gridCol w:w="2422"/>
        <w:gridCol w:w="1969"/>
        <w:gridCol w:w="1969"/>
      </w:tblGrid>
      <w:tr w:rsidR="007241EE" w:rsidRPr="0003112D" w:rsidTr="008F32CB">
        <w:tc>
          <w:tcPr>
            <w:tcW w:w="2656" w:type="dxa"/>
          </w:tcPr>
          <w:p w:rsidR="007241EE" w:rsidRPr="0003112D" w:rsidRDefault="007241EE" w:rsidP="008F32CB">
            <w:pPr>
              <w:rPr>
                <w:rFonts w:ascii="Arial" w:hAnsi="Arial" w:cs="Arial"/>
                <w:b/>
                <w:sz w:val="24"/>
                <w:szCs w:val="24"/>
              </w:rPr>
            </w:pPr>
            <w:r w:rsidRPr="0003112D">
              <w:rPr>
                <w:rFonts w:ascii="Arial" w:hAnsi="Arial" w:cs="Arial"/>
                <w:b/>
                <w:sz w:val="24"/>
                <w:szCs w:val="24"/>
              </w:rPr>
              <w:t>Core outputs</w:t>
            </w:r>
          </w:p>
        </w:tc>
        <w:tc>
          <w:tcPr>
            <w:tcW w:w="2422" w:type="dxa"/>
          </w:tcPr>
          <w:p w:rsidR="007241EE" w:rsidRPr="0003112D" w:rsidRDefault="007241EE" w:rsidP="008F32CB">
            <w:pPr>
              <w:jc w:val="center"/>
              <w:rPr>
                <w:rFonts w:ascii="Arial" w:hAnsi="Arial" w:cs="Arial"/>
                <w:b/>
                <w:sz w:val="24"/>
                <w:szCs w:val="24"/>
              </w:rPr>
            </w:pPr>
            <w:r w:rsidRPr="0003112D">
              <w:rPr>
                <w:rFonts w:ascii="Arial" w:hAnsi="Arial" w:cs="Arial"/>
                <w:b/>
                <w:sz w:val="24"/>
                <w:szCs w:val="24"/>
              </w:rPr>
              <w:t>16/17 Trajectory</w:t>
            </w:r>
          </w:p>
        </w:tc>
        <w:tc>
          <w:tcPr>
            <w:tcW w:w="1969" w:type="dxa"/>
          </w:tcPr>
          <w:p w:rsidR="007241EE" w:rsidRPr="0003112D" w:rsidRDefault="007241EE" w:rsidP="008F32CB">
            <w:pPr>
              <w:jc w:val="center"/>
              <w:rPr>
                <w:rFonts w:ascii="Arial" w:hAnsi="Arial" w:cs="Arial"/>
                <w:b/>
                <w:sz w:val="24"/>
                <w:szCs w:val="24"/>
              </w:rPr>
            </w:pPr>
            <w:r w:rsidRPr="0003112D">
              <w:rPr>
                <w:rFonts w:ascii="Arial" w:hAnsi="Arial" w:cs="Arial"/>
                <w:b/>
                <w:sz w:val="24"/>
                <w:szCs w:val="24"/>
              </w:rPr>
              <w:t>16/17 Actual</w:t>
            </w:r>
          </w:p>
        </w:tc>
        <w:tc>
          <w:tcPr>
            <w:tcW w:w="1969" w:type="dxa"/>
          </w:tcPr>
          <w:p w:rsidR="007241EE" w:rsidRPr="0003112D" w:rsidRDefault="007241EE" w:rsidP="008F32CB">
            <w:pPr>
              <w:jc w:val="center"/>
              <w:rPr>
                <w:rFonts w:ascii="Arial" w:hAnsi="Arial" w:cs="Arial"/>
                <w:b/>
                <w:sz w:val="24"/>
                <w:szCs w:val="24"/>
              </w:rPr>
            </w:pPr>
            <w:r w:rsidRPr="0003112D">
              <w:rPr>
                <w:rFonts w:ascii="Arial" w:hAnsi="Arial" w:cs="Arial"/>
                <w:b/>
                <w:sz w:val="24"/>
                <w:szCs w:val="24"/>
              </w:rPr>
              <w:t xml:space="preserve">  All Years Cumulative Variance </w:t>
            </w:r>
          </w:p>
        </w:tc>
      </w:tr>
      <w:tr w:rsidR="007241EE" w:rsidRPr="0003112D" w:rsidTr="008F32CB">
        <w:tc>
          <w:tcPr>
            <w:tcW w:w="2656" w:type="dxa"/>
          </w:tcPr>
          <w:p w:rsidR="007241EE" w:rsidRPr="0003112D" w:rsidRDefault="007241EE" w:rsidP="008F32CB">
            <w:pPr>
              <w:rPr>
                <w:rFonts w:ascii="Arial" w:hAnsi="Arial" w:cs="Arial"/>
                <w:sz w:val="24"/>
                <w:szCs w:val="24"/>
              </w:rPr>
            </w:pPr>
            <w:r w:rsidRPr="0003112D">
              <w:rPr>
                <w:rFonts w:ascii="Arial" w:hAnsi="Arial" w:cs="Arial"/>
                <w:sz w:val="24"/>
                <w:szCs w:val="24"/>
              </w:rPr>
              <w:t xml:space="preserve">Public Sector Investment </w:t>
            </w:r>
          </w:p>
          <w:p w:rsidR="007241EE" w:rsidRPr="0003112D" w:rsidRDefault="007241EE" w:rsidP="008F32CB">
            <w:pPr>
              <w:rPr>
                <w:rFonts w:ascii="Arial" w:hAnsi="Arial" w:cs="Arial"/>
                <w:sz w:val="24"/>
                <w:szCs w:val="24"/>
              </w:rPr>
            </w:pPr>
            <w:r w:rsidRPr="0003112D">
              <w:rPr>
                <w:rFonts w:ascii="Arial" w:hAnsi="Arial" w:cs="Arial"/>
                <w:sz w:val="24"/>
                <w:szCs w:val="24"/>
              </w:rPr>
              <w:t>(to support Infrastructure programme)</w:t>
            </w:r>
          </w:p>
        </w:tc>
        <w:tc>
          <w:tcPr>
            <w:tcW w:w="2422" w:type="dxa"/>
          </w:tcPr>
          <w:p w:rsidR="007241EE" w:rsidRPr="008C1917" w:rsidRDefault="007241EE" w:rsidP="008F32CB">
            <w:pPr>
              <w:jc w:val="center"/>
              <w:rPr>
                <w:rFonts w:ascii="Arial" w:hAnsi="Arial" w:cs="Arial"/>
                <w:sz w:val="24"/>
                <w:szCs w:val="24"/>
              </w:rPr>
            </w:pPr>
            <w:r>
              <w:rPr>
                <w:rFonts w:ascii="Arial" w:hAnsi="Arial" w:cs="Arial"/>
                <w:sz w:val="24"/>
                <w:szCs w:val="24"/>
              </w:rPr>
              <w:t>£28.36m</w:t>
            </w:r>
          </w:p>
        </w:tc>
        <w:tc>
          <w:tcPr>
            <w:tcW w:w="1969" w:type="dxa"/>
          </w:tcPr>
          <w:p w:rsidR="007241EE" w:rsidRPr="008C1917" w:rsidRDefault="007241EE" w:rsidP="008F32CB">
            <w:pPr>
              <w:jc w:val="center"/>
              <w:rPr>
                <w:rFonts w:ascii="Arial" w:hAnsi="Arial" w:cs="Arial"/>
                <w:sz w:val="24"/>
                <w:szCs w:val="24"/>
              </w:rPr>
            </w:pPr>
            <w:r w:rsidRPr="008C1917">
              <w:rPr>
                <w:rFonts w:ascii="Arial" w:hAnsi="Arial" w:cs="Arial"/>
                <w:sz w:val="24"/>
                <w:szCs w:val="24"/>
              </w:rPr>
              <w:t>£</w:t>
            </w:r>
            <w:r>
              <w:rPr>
                <w:rFonts w:ascii="Arial" w:hAnsi="Arial" w:cs="Arial"/>
                <w:sz w:val="24"/>
                <w:szCs w:val="24"/>
              </w:rPr>
              <w:t>43.623m</w:t>
            </w:r>
          </w:p>
        </w:tc>
        <w:tc>
          <w:tcPr>
            <w:tcW w:w="1969" w:type="dxa"/>
          </w:tcPr>
          <w:p w:rsidR="007241EE" w:rsidRPr="008C1917" w:rsidRDefault="007241EE" w:rsidP="008F32CB">
            <w:pPr>
              <w:jc w:val="center"/>
              <w:rPr>
                <w:rFonts w:ascii="Arial" w:hAnsi="Arial" w:cs="Arial"/>
                <w:sz w:val="24"/>
                <w:szCs w:val="24"/>
              </w:rPr>
            </w:pPr>
            <w:r>
              <w:rPr>
                <w:rFonts w:ascii="Arial" w:hAnsi="Arial" w:cs="Arial"/>
                <w:sz w:val="24"/>
                <w:szCs w:val="24"/>
              </w:rPr>
              <w:t>£91.034m</w:t>
            </w:r>
          </w:p>
        </w:tc>
      </w:tr>
      <w:tr w:rsidR="007241EE" w:rsidRPr="0003112D" w:rsidTr="008F32CB">
        <w:tc>
          <w:tcPr>
            <w:tcW w:w="2656" w:type="dxa"/>
          </w:tcPr>
          <w:p w:rsidR="007241EE" w:rsidRPr="0003112D" w:rsidRDefault="007241EE" w:rsidP="008F32CB">
            <w:pPr>
              <w:rPr>
                <w:rFonts w:ascii="Arial" w:hAnsi="Arial" w:cs="Arial"/>
                <w:sz w:val="24"/>
                <w:szCs w:val="24"/>
              </w:rPr>
            </w:pPr>
            <w:r w:rsidRPr="0003112D">
              <w:rPr>
                <w:rFonts w:ascii="Arial" w:hAnsi="Arial" w:cs="Arial"/>
                <w:sz w:val="24"/>
                <w:szCs w:val="24"/>
              </w:rPr>
              <w:t xml:space="preserve">Private Sector Investment  </w:t>
            </w:r>
          </w:p>
          <w:p w:rsidR="007241EE" w:rsidRPr="0003112D" w:rsidRDefault="007241EE" w:rsidP="008F32CB">
            <w:pPr>
              <w:rPr>
                <w:rFonts w:ascii="Arial" w:hAnsi="Arial" w:cs="Arial"/>
                <w:sz w:val="24"/>
                <w:szCs w:val="24"/>
              </w:rPr>
            </w:pPr>
            <w:r w:rsidRPr="0003112D">
              <w:rPr>
                <w:rFonts w:ascii="Arial" w:hAnsi="Arial" w:cs="Arial"/>
                <w:sz w:val="24"/>
                <w:szCs w:val="24"/>
              </w:rPr>
              <w:t xml:space="preserve">(to support infrastructure programme) </w:t>
            </w:r>
          </w:p>
        </w:tc>
        <w:tc>
          <w:tcPr>
            <w:tcW w:w="2422" w:type="dxa"/>
          </w:tcPr>
          <w:p w:rsidR="007241EE" w:rsidRPr="008C1917" w:rsidRDefault="007241EE" w:rsidP="008F32CB">
            <w:pPr>
              <w:jc w:val="center"/>
              <w:rPr>
                <w:rFonts w:ascii="Arial" w:hAnsi="Arial" w:cs="Arial"/>
                <w:sz w:val="24"/>
                <w:szCs w:val="24"/>
              </w:rPr>
            </w:pPr>
            <w:r>
              <w:rPr>
                <w:rFonts w:ascii="Arial" w:hAnsi="Arial" w:cs="Arial"/>
                <w:sz w:val="24"/>
                <w:szCs w:val="24"/>
              </w:rPr>
              <w:t>£4.6m</w:t>
            </w:r>
          </w:p>
        </w:tc>
        <w:tc>
          <w:tcPr>
            <w:tcW w:w="1969" w:type="dxa"/>
          </w:tcPr>
          <w:p w:rsidR="007241EE" w:rsidRPr="008C1917" w:rsidRDefault="007241EE" w:rsidP="008F32CB">
            <w:pPr>
              <w:jc w:val="center"/>
              <w:rPr>
                <w:rFonts w:ascii="Arial" w:hAnsi="Arial" w:cs="Arial"/>
                <w:sz w:val="24"/>
                <w:szCs w:val="24"/>
              </w:rPr>
            </w:pPr>
            <w:r>
              <w:rPr>
                <w:rFonts w:ascii="Arial" w:hAnsi="Arial" w:cs="Arial"/>
                <w:sz w:val="24"/>
                <w:szCs w:val="24"/>
              </w:rPr>
              <w:t>£2.179m</w:t>
            </w:r>
          </w:p>
        </w:tc>
        <w:tc>
          <w:tcPr>
            <w:tcW w:w="1969" w:type="dxa"/>
          </w:tcPr>
          <w:p w:rsidR="007241EE" w:rsidRPr="008C1917" w:rsidRDefault="007241EE" w:rsidP="008F32CB">
            <w:pPr>
              <w:jc w:val="center"/>
              <w:rPr>
                <w:rFonts w:ascii="Arial" w:hAnsi="Arial" w:cs="Arial"/>
                <w:sz w:val="24"/>
                <w:szCs w:val="24"/>
              </w:rPr>
            </w:pPr>
            <w:r>
              <w:rPr>
                <w:rFonts w:ascii="Arial" w:hAnsi="Arial" w:cs="Arial"/>
                <w:sz w:val="24"/>
                <w:szCs w:val="24"/>
              </w:rPr>
              <w:t>£14.495m*</w:t>
            </w:r>
          </w:p>
        </w:tc>
      </w:tr>
      <w:tr w:rsidR="007241EE" w:rsidRPr="0003112D" w:rsidTr="008F32CB">
        <w:tc>
          <w:tcPr>
            <w:tcW w:w="2656" w:type="dxa"/>
          </w:tcPr>
          <w:p w:rsidR="007241EE" w:rsidRPr="0003112D" w:rsidRDefault="007241EE" w:rsidP="008F32CB">
            <w:pPr>
              <w:rPr>
                <w:rFonts w:ascii="Arial" w:hAnsi="Arial" w:cs="Arial"/>
                <w:sz w:val="24"/>
                <w:szCs w:val="24"/>
              </w:rPr>
            </w:pPr>
            <w:r w:rsidRPr="000A50A9">
              <w:rPr>
                <w:rFonts w:ascii="Arial" w:hAnsi="Arial" w:cs="Arial"/>
              </w:rPr>
              <w:t>Pension Fund Investment</w:t>
            </w:r>
          </w:p>
        </w:tc>
        <w:tc>
          <w:tcPr>
            <w:tcW w:w="2422" w:type="dxa"/>
          </w:tcPr>
          <w:p w:rsidR="007241EE" w:rsidRDefault="007241EE" w:rsidP="008F32CB">
            <w:pPr>
              <w:jc w:val="center"/>
              <w:rPr>
                <w:rFonts w:ascii="Arial" w:hAnsi="Arial" w:cs="Arial"/>
                <w:sz w:val="24"/>
                <w:szCs w:val="24"/>
              </w:rPr>
            </w:pPr>
            <w:r>
              <w:rPr>
                <w:rFonts w:ascii="Arial" w:hAnsi="Arial" w:cs="Arial"/>
                <w:sz w:val="24"/>
                <w:szCs w:val="24"/>
              </w:rPr>
              <w:t>-</w:t>
            </w:r>
          </w:p>
        </w:tc>
        <w:tc>
          <w:tcPr>
            <w:tcW w:w="1969" w:type="dxa"/>
          </w:tcPr>
          <w:p w:rsidR="007241EE" w:rsidRDefault="007241EE" w:rsidP="008F32CB">
            <w:pPr>
              <w:jc w:val="center"/>
              <w:rPr>
                <w:rFonts w:ascii="Arial" w:hAnsi="Arial" w:cs="Arial"/>
                <w:sz w:val="24"/>
                <w:szCs w:val="24"/>
              </w:rPr>
            </w:pPr>
            <w:r>
              <w:rPr>
                <w:rFonts w:ascii="Arial" w:hAnsi="Arial" w:cs="Arial"/>
                <w:sz w:val="24"/>
                <w:szCs w:val="24"/>
              </w:rPr>
              <w:t>-</w:t>
            </w:r>
          </w:p>
        </w:tc>
        <w:tc>
          <w:tcPr>
            <w:tcW w:w="1969" w:type="dxa"/>
          </w:tcPr>
          <w:p w:rsidR="007241EE" w:rsidRDefault="007241EE" w:rsidP="008F32CB">
            <w:pPr>
              <w:jc w:val="center"/>
              <w:rPr>
                <w:rFonts w:ascii="Arial" w:hAnsi="Arial" w:cs="Arial"/>
                <w:sz w:val="24"/>
                <w:szCs w:val="24"/>
              </w:rPr>
            </w:pPr>
            <w:r>
              <w:rPr>
                <w:rFonts w:ascii="Arial" w:hAnsi="Arial" w:cs="Arial"/>
              </w:rPr>
              <w:t>£55m *</w:t>
            </w:r>
          </w:p>
        </w:tc>
      </w:tr>
    </w:tbl>
    <w:p w:rsidR="007241EE" w:rsidRDefault="007241EE" w:rsidP="007241EE">
      <w:pPr>
        <w:rPr>
          <w:rFonts w:ascii="Arial" w:hAnsi="Arial" w:cs="Arial"/>
          <w:sz w:val="20"/>
          <w:szCs w:val="20"/>
        </w:rPr>
      </w:pPr>
      <w:r w:rsidRPr="008C1917">
        <w:rPr>
          <w:rFonts w:ascii="Arial" w:hAnsi="Arial" w:cs="Arial"/>
          <w:sz w:val="20"/>
          <w:szCs w:val="20"/>
        </w:rPr>
        <w:t>*after Parish and District deductions from Cil</w:t>
      </w:r>
    </w:p>
    <w:p w:rsidR="007241EE" w:rsidRDefault="007241EE" w:rsidP="007241EE">
      <w:pPr>
        <w:rPr>
          <w:color w:val="1F497D"/>
        </w:rPr>
      </w:pPr>
      <w:r>
        <w:rPr>
          <w:rFonts w:ascii="Arial" w:hAnsi="Arial" w:cs="Arial"/>
          <w:sz w:val="20"/>
          <w:szCs w:val="20"/>
        </w:rPr>
        <w:t>** refers to investment made, planned or under development</w:t>
      </w:r>
    </w:p>
    <w:p w:rsidR="007241EE" w:rsidRPr="00D869A7" w:rsidRDefault="007241EE" w:rsidP="007241EE">
      <w:pPr>
        <w:rPr>
          <w:rFonts w:ascii="Arial" w:hAnsi="Arial" w:cs="Arial"/>
          <w:b/>
          <w:sz w:val="24"/>
          <w:szCs w:val="24"/>
        </w:rPr>
      </w:pPr>
      <w:r>
        <w:rPr>
          <w:rFonts w:ascii="Arial" w:hAnsi="Arial" w:cs="Arial"/>
          <w:b/>
          <w:sz w:val="24"/>
          <w:szCs w:val="24"/>
        </w:rPr>
        <w:br w:type="page"/>
      </w:r>
      <w:r w:rsidRPr="00D869A7">
        <w:rPr>
          <w:rFonts w:ascii="Arial" w:hAnsi="Arial" w:cs="Arial"/>
          <w:b/>
          <w:sz w:val="24"/>
          <w:szCs w:val="24"/>
        </w:rPr>
        <w:lastRenderedPageBreak/>
        <w:t>Infrastructure</w:t>
      </w:r>
      <w:r>
        <w:rPr>
          <w:rFonts w:ascii="Arial" w:hAnsi="Arial" w:cs="Arial"/>
          <w:b/>
          <w:sz w:val="24"/>
          <w:szCs w:val="24"/>
        </w:rPr>
        <w:t xml:space="preserve"> schemes</w:t>
      </w:r>
      <w:r w:rsidRPr="00D869A7">
        <w:rPr>
          <w:rFonts w:ascii="Arial" w:hAnsi="Arial" w:cs="Arial"/>
          <w:b/>
          <w:sz w:val="24"/>
          <w:szCs w:val="24"/>
        </w:rPr>
        <w:t>:</w:t>
      </w:r>
      <w:r>
        <w:rPr>
          <w:rFonts w:ascii="Arial" w:hAnsi="Arial" w:cs="Arial"/>
          <w:b/>
          <w:sz w:val="24"/>
          <w:szCs w:val="24"/>
        </w:rPr>
        <w:t xml:space="preserve"> </w:t>
      </w:r>
    </w:p>
    <w:p w:rsidR="00DA1650" w:rsidRDefault="00DA1650" w:rsidP="007241EE">
      <w:pPr>
        <w:jc w:val="both"/>
        <w:rPr>
          <w:rFonts w:ascii="Arial" w:hAnsi="Arial" w:cs="Arial"/>
          <w:sz w:val="24"/>
          <w:szCs w:val="24"/>
        </w:rPr>
      </w:pPr>
    </w:p>
    <w:p w:rsidR="007241EE" w:rsidRDefault="007241EE" w:rsidP="007241EE">
      <w:pPr>
        <w:jc w:val="both"/>
        <w:rPr>
          <w:rFonts w:ascii="Arial" w:hAnsi="Arial" w:cs="Arial"/>
          <w:sz w:val="24"/>
          <w:szCs w:val="24"/>
        </w:rPr>
      </w:pPr>
      <w:r>
        <w:rPr>
          <w:rFonts w:ascii="Arial" w:hAnsi="Arial" w:cs="Arial"/>
          <w:sz w:val="24"/>
          <w:szCs w:val="24"/>
        </w:rPr>
        <w:t>During 2016/17 a huge amount of pre-application work has been undertaken on the major infrastructure Schemes in the Plan, in order to prepare for the formal planning process.   There are a number of large and complex schemes that are being managed simultaneously in order to accelerate delivery, requiring design work, consultation, environmental investigation and land and property negotiations to be undertaken to demanding timescales.  This has ensured that the planning applications for Penwortham Bypass, Preston Western Distributor and the East/West Link Road have now been submitted and the pre-app work for the A582 Dualling scheme is underway.</w:t>
      </w:r>
    </w:p>
    <w:p w:rsidR="007241EE" w:rsidRDefault="007241EE" w:rsidP="007241EE">
      <w:pPr>
        <w:jc w:val="both"/>
        <w:rPr>
          <w:rFonts w:ascii="Arial" w:hAnsi="Arial" w:cs="Arial"/>
          <w:sz w:val="24"/>
          <w:szCs w:val="24"/>
        </w:rPr>
      </w:pPr>
    </w:p>
    <w:p w:rsidR="007241EE" w:rsidRDefault="007241EE" w:rsidP="007241EE">
      <w:pPr>
        <w:jc w:val="both"/>
        <w:rPr>
          <w:rFonts w:ascii="Arial" w:hAnsi="Arial" w:cs="Arial"/>
          <w:sz w:val="24"/>
          <w:szCs w:val="24"/>
        </w:rPr>
      </w:pPr>
      <w:r>
        <w:rPr>
          <w:rFonts w:ascii="Arial" w:hAnsi="Arial" w:cs="Arial"/>
          <w:sz w:val="24"/>
          <w:szCs w:val="24"/>
        </w:rPr>
        <w:t xml:space="preserve">At the same time, work on the ground is progressing at pace, with Broughton Bypass  underway and a number of junction/roundabout improvements to the A582 either complete or nearing completion.   </w:t>
      </w:r>
    </w:p>
    <w:p w:rsidR="007241EE" w:rsidRDefault="007241EE" w:rsidP="007241EE">
      <w:pPr>
        <w:jc w:val="both"/>
        <w:rPr>
          <w:rFonts w:ascii="Arial" w:hAnsi="Arial" w:cs="Arial"/>
          <w:sz w:val="24"/>
          <w:szCs w:val="24"/>
        </w:rPr>
      </w:pPr>
    </w:p>
    <w:p w:rsidR="007241EE" w:rsidRDefault="007241EE" w:rsidP="007241EE">
      <w:pPr>
        <w:jc w:val="both"/>
        <w:rPr>
          <w:rFonts w:ascii="Arial" w:hAnsi="Arial" w:cs="Arial"/>
          <w:sz w:val="24"/>
          <w:szCs w:val="24"/>
        </w:rPr>
      </w:pPr>
      <w:r>
        <w:rPr>
          <w:rFonts w:ascii="Arial" w:hAnsi="Arial" w:cs="Arial"/>
          <w:sz w:val="24"/>
          <w:szCs w:val="24"/>
        </w:rPr>
        <w:t xml:space="preserve">Sustainable Transport infrastructure projects are also progressing well in Bamber Bridge with Phase 1 almost complete and the local centre improvements at New Hall Lane also nearing completion.  Phase 2 of the Fishergate Central Gateway was completed in 16/17 and the refurbishment of the Bus Station concourse and car park is progressing well, with the on-site highways work now underway.  A detailed masterplanning process for the remaining corridors is nearing completion with proposals expected in July 2017. </w:t>
      </w:r>
    </w:p>
    <w:p w:rsidR="007241EE" w:rsidRDefault="007241EE" w:rsidP="007241EE">
      <w:pPr>
        <w:jc w:val="both"/>
        <w:rPr>
          <w:rFonts w:ascii="Arial" w:hAnsi="Arial" w:cs="Arial"/>
          <w:sz w:val="24"/>
          <w:szCs w:val="24"/>
        </w:rPr>
      </w:pPr>
    </w:p>
    <w:p w:rsidR="007241EE" w:rsidRDefault="007241EE" w:rsidP="007241EE">
      <w:pPr>
        <w:jc w:val="both"/>
        <w:rPr>
          <w:rFonts w:ascii="Arial" w:hAnsi="Arial" w:cs="Arial"/>
          <w:sz w:val="24"/>
          <w:szCs w:val="24"/>
        </w:rPr>
      </w:pPr>
      <w:r>
        <w:rPr>
          <w:rFonts w:ascii="Arial" w:hAnsi="Arial" w:cs="Arial"/>
          <w:sz w:val="24"/>
          <w:szCs w:val="24"/>
        </w:rPr>
        <w:t>On the Community Infrastructure schemes, improvement works at Winckley Square Gardens are now complete, as well as the new cycle hub at Preston Railway Station. Phase 1 of the St. Catherine's Park enhancement scheme is complete, as is the first phase of the Expanded City Cultural Development programme.  A number of landmark features across South Ribble have also been introduced.</w:t>
      </w:r>
    </w:p>
    <w:p w:rsidR="007241EE" w:rsidRDefault="007241EE" w:rsidP="007241EE">
      <w:pPr>
        <w:jc w:val="both"/>
        <w:rPr>
          <w:rFonts w:ascii="Arial" w:hAnsi="Arial" w:cs="Arial"/>
          <w:sz w:val="24"/>
          <w:szCs w:val="24"/>
        </w:rPr>
      </w:pPr>
    </w:p>
    <w:p w:rsidR="007241EE" w:rsidRDefault="007241EE" w:rsidP="007241EE">
      <w:pPr>
        <w:jc w:val="both"/>
        <w:rPr>
          <w:rFonts w:ascii="Arial" w:hAnsi="Arial" w:cs="Arial"/>
          <w:sz w:val="24"/>
          <w:szCs w:val="24"/>
        </w:rPr>
      </w:pPr>
      <w:r>
        <w:rPr>
          <w:rFonts w:ascii="Arial" w:hAnsi="Arial" w:cs="Arial"/>
          <w:sz w:val="24"/>
          <w:szCs w:val="24"/>
        </w:rPr>
        <w:t xml:space="preserve">The E&amp;SB will note that of the 52 infrastructure </w:t>
      </w:r>
      <w:r w:rsidRPr="00D238D1">
        <w:rPr>
          <w:rFonts w:ascii="Arial" w:hAnsi="Arial" w:cs="Arial"/>
          <w:sz w:val="24"/>
          <w:szCs w:val="24"/>
        </w:rPr>
        <w:t xml:space="preserve">schemes included in the Plan for </w:t>
      </w:r>
      <w:r>
        <w:rPr>
          <w:rFonts w:ascii="Arial" w:hAnsi="Arial" w:cs="Arial"/>
          <w:sz w:val="24"/>
          <w:szCs w:val="24"/>
        </w:rPr>
        <w:t>2016/17</w:t>
      </w:r>
      <w:r w:rsidRPr="00D238D1">
        <w:rPr>
          <w:rFonts w:ascii="Arial" w:hAnsi="Arial" w:cs="Arial"/>
          <w:sz w:val="24"/>
          <w:szCs w:val="24"/>
        </w:rPr>
        <w:t xml:space="preserve">, </w:t>
      </w:r>
      <w:r>
        <w:rPr>
          <w:rFonts w:ascii="Arial" w:hAnsi="Arial" w:cs="Arial"/>
          <w:sz w:val="24"/>
          <w:szCs w:val="24"/>
        </w:rPr>
        <w:t>28</w:t>
      </w:r>
      <w:r w:rsidRPr="00D238D1">
        <w:rPr>
          <w:rFonts w:ascii="Arial" w:hAnsi="Arial" w:cs="Arial"/>
          <w:sz w:val="24"/>
          <w:szCs w:val="24"/>
        </w:rPr>
        <w:t xml:space="preserve"> are progressing as planned with no issues identified or else have no milestones in the current year.  </w:t>
      </w:r>
      <w:r>
        <w:rPr>
          <w:rFonts w:ascii="Arial" w:hAnsi="Arial" w:cs="Arial"/>
          <w:sz w:val="24"/>
          <w:szCs w:val="24"/>
        </w:rPr>
        <w:t>A further 20</w:t>
      </w:r>
      <w:r w:rsidRPr="00D238D1">
        <w:rPr>
          <w:rFonts w:ascii="Arial" w:hAnsi="Arial" w:cs="Arial"/>
          <w:sz w:val="24"/>
          <w:szCs w:val="24"/>
        </w:rPr>
        <w:t xml:space="preserve"> have been highlighted red/amber, either because they have not met the milestones in </w:t>
      </w:r>
      <w:r>
        <w:rPr>
          <w:rFonts w:ascii="Arial" w:hAnsi="Arial" w:cs="Arial"/>
          <w:sz w:val="24"/>
          <w:szCs w:val="24"/>
        </w:rPr>
        <w:t>Q4</w:t>
      </w:r>
      <w:r w:rsidRPr="00D238D1">
        <w:rPr>
          <w:rFonts w:ascii="Arial" w:hAnsi="Arial" w:cs="Arial"/>
          <w:sz w:val="24"/>
          <w:szCs w:val="24"/>
        </w:rPr>
        <w:t xml:space="preserve"> or will not meet the milestones going forward.  </w:t>
      </w:r>
      <w:r>
        <w:rPr>
          <w:rFonts w:ascii="Arial" w:hAnsi="Arial" w:cs="Arial"/>
          <w:sz w:val="24"/>
          <w:szCs w:val="24"/>
        </w:rPr>
        <w:t>6 schemes are now complete.</w:t>
      </w:r>
    </w:p>
    <w:p w:rsidR="00DA1650" w:rsidRPr="00113581" w:rsidRDefault="00DA1650" w:rsidP="007241EE">
      <w:pPr>
        <w:jc w:val="both"/>
        <w:rPr>
          <w:rFonts w:ascii="Arial" w:hAnsi="Arial" w:cs="Arial"/>
          <w:sz w:val="24"/>
          <w:szCs w:val="24"/>
        </w:rPr>
      </w:pPr>
    </w:p>
    <w:p w:rsidR="007241EE" w:rsidRDefault="007241EE" w:rsidP="007241EE">
      <w:pPr>
        <w:rPr>
          <w:rFonts w:ascii="Arial" w:hAnsi="Arial" w:cs="Arial"/>
          <w:sz w:val="24"/>
          <w:szCs w:val="24"/>
        </w:rPr>
      </w:pPr>
      <w:r>
        <w:rPr>
          <w:rFonts w:ascii="Arial" w:hAnsi="Arial" w:cs="Arial"/>
          <w:sz w:val="24"/>
          <w:szCs w:val="24"/>
        </w:rPr>
        <w:t>A detailed summary of progress against milestones for all infrastructure schemes is included in Appendix 5.</w:t>
      </w:r>
    </w:p>
    <w:p w:rsidR="007241EE" w:rsidRDefault="007241EE" w:rsidP="007241EE">
      <w:pPr>
        <w:ind w:left="720" w:hanging="720"/>
        <w:rPr>
          <w:rFonts w:ascii="Arial" w:hAnsi="Arial" w:cs="Arial"/>
          <w:sz w:val="24"/>
          <w:szCs w:val="24"/>
        </w:rPr>
      </w:pPr>
    </w:p>
    <w:p w:rsidR="007241EE" w:rsidRDefault="007241EE" w:rsidP="007241EE">
      <w:pPr>
        <w:rPr>
          <w:rFonts w:ascii="Arial" w:hAnsi="Arial" w:cs="Arial"/>
          <w:b/>
          <w:sz w:val="24"/>
          <w:szCs w:val="24"/>
          <w:u w:val="single"/>
        </w:rPr>
      </w:pPr>
      <w:r>
        <w:rPr>
          <w:rFonts w:ascii="Arial" w:hAnsi="Arial" w:cs="Arial"/>
          <w:b/>
          <w:sz w:val="24"/>
          <w:szCs w:val="24"/>
          <w:u w:val="single"/>
        </w:rPr>
        <w:br w:type="page"/>
      </w:r>
    </w:p>
    <w:p w:rsidR="007241EE" w:rsidRDefault="007241EE" w:rsidP="007241EE">
      <w:pPr>
        <w:rPr>
          <w:rFonts w:ascii="Arial" w:hAnsi="Arial" w:cs="Arial"/>
          <w:b/>
          <w:sz w:val="24"/>
          <w:szCs w:val="24"/>
          <w:u w:val="single"/>
        </w:rPr>
      </w:pPr>
      <w:r>
        <w:rPr>
          <w:rFonts w:ascii="Arial" w:hAnsi="Arial" w:cs="Arial"/>
          <w:b/>
          <w:sz w:val="24"/>
          <w:szCs w:val="24"/>
          <w:u w:val="single"/>
        </w:rPr>
        <w:lastRenderedPageBreak/>
        <w:t>Implementation Issues</w:t>
      </w:r>
    </w:p>
    <w:p w:rsidR="00DA1650" w:rsidRDefault="00DA1650" w:rsidP="007241EE">
      <w:pPr>
        <w:rPr>
          <w:rFonts w:ascii="Arial" w:hAnsi="Arial" w:cs="Arial"/>
          <w:b/>
          <w:sz w:val="24"/>
          <w:szCs w:val="24"/>
          <w:u w:val="single"/>
        </w:rPr>
      </w:pPr>
    </w:p>
    <w:p w:rsidR="007241EE" w:rsidRPr="00D238D1" w:rsidRDefault="007241EE" w:rsidP="007241EE">
      <w:pPr>
        <w:ind w:hanging="283"/>
        <w:jc w:val="both"/>
        <w:rPr>
          <w:rFonts w:ascii="Arial" w:hAnsi="Arial" w:cs="Arial"/>
          <w:sz w:val="24"/>
          <w:szCs w:val="24"/>
        </w:rPr>
      </w:pPr>
      <w:r>
        <w:rPr>
          <w:rFonts w:ascii="Arial" w:hAnsi="Arial" w:cs="Arial"/>
          <w:sz w:val="24"/>
          <w:szCs w:val="24"/>
        </w:rPr>
        <w:t xml:space="preserve">    </w:t>
      </w:r>
      <w:r w:rsidRPr="00D238D1">
        <w:rPr>
          <w:rFonts w:ascii="Arial" w:hAnsi="Arial" w:cs="Arial"/>
          <w:sz w:val="24"/>
          <w:szCs w:val="24"/>
        </w:rPr>
        <w:t xml:space="preserve">The table below sets out the current </w:t>
      </w:r>
      <w:r>
        <w:rPr>
          <w:rFonts w:ascii="Arial" w:hAnsi="Arial" w:cs="Arial"/>
          <w:sz w:val="24"/>
          <w:szCs w:val="24"/>
        </w:rPr>
        <w:t>key</w:t>
      </w:r>
      <w:r w:rsidRPr="00D238D1">
        <w:rPr>
          <w:rFonts w:ascii="Arial" w:hAnsi="Arial" w:cs="Arial"/>
          <w:sz w:val="24"/>
          <w:szCs w:val="24"/>
        </w:rPr>
        <w:t xml:space="preserve"> issues that are being prioritised in the </w:t>
      </w:r>
      <w:r>
        <w:rPr>
          <w:rFonts w:ascii="Arial" w:hAnsi="Arial" w:cs="Arial"/>
          <w:sz w:val="24"/>
          <w:szCs w:val="24"/>
        </w:rPr>
        <w:t>p</w:t>
      </w:r>
      <w:r w:rsidRPr="00D238D1">
        <w:rPr>
          <w:rFonts w:ascii="Arial" w:hAnsi="Arial" w:cs="Arial"/>
          <w:sz w:val="24"/>
          <w:szCs w:val="24"/>
        </w:rPr>
        <w:t xml:space="preserve">rogramme in order to appropriately manage risk. Some of the issues have previously been reported and an update on the current position is provided. </w:t>
      </w:r>
    </w:p>
    <w:p w:rsidR="007241EE" w:rsidRPr="00D238D1" w:rsidRDefault="007241EE" w:rsidP="007241EE">
      <w:pPr>
        <w:jc w:val="both"/>
        <w:rPr>
          <w:rFonts w:ascii="Arial" w:hAnsi="Arial" w:cs="Arial"/>
          <w:sz w:val="24"/>
          <w:szCs w:val="24"/>
        </w:rPr>
      </w:pPr>
    </w:p>
    <w:tbl>
      <w:tblPr>
        <w:tblStyle w:val="TableGrid"/>
        <w:tblW w:w="9214" w:type="dxa"/>
        <w:tblInd w:w="-5" w:type="dxa"/>
        <w:tblLook w:val="04A0" w:firstRow="1" w:lastRow="0" w:firstColumn="1" w:lastColumn="0" w:noHBand="0" w:noVBand="1"/>
      </w:tblPr>
      <w:tblGrid>
        <w:gridCol w:w="2712"/>
        <w:gridCol w:w="6502"/>
      </w:tblGrid>
      <w:tr w:rsidR="007241EE" w:rsidRPr="00D238D1" w:rsidTr="008F32CB">
        <w:tc>
          <w:tcPr>
            <w:tcW w:w="2712" w:type="dxa"/>
          </w:tcPr>
          <w:p w:rsidR="007241EE" w:rsidRDefault="007241EE" w:rsidP="008F32CB">
            <w:pPr>
              <w:jc w:val="both"/>
              <w:rPr>
                <w:rFonts w:ascii="Arial" w:hAnsi="Arial" w:cs="Arial"/>
                <w:b/>
                <w:sz w:val="24"/>
                <w:szCs w:val="24"/>
              </w:rPr>
            </w:pPr>
            <w:r w:rsidRPr="00D238D1">
              <w:rPr>
                <w:rFonts w:ascii="Arial" w:hAnsi="Arial" w:cs="Arial"/>
                <w:b/>
                <w:sz w:val="24"/>
                <w:szCs w:val="24"/>
              </w:rPr>
              <w:t>Scheme/Issue</w:t>
            </w:r>
          </w:p>
          <w:p w:rsidR="007241EE" w:rsidRPr="00D238D1" w:rsidRDefault="007241EE" w:rsidP="008F32CB">
            <w:pPr>
              <w:jc w:val="both"/>
              <w:rPr>
                <w:rFonts w:ascii="Arial" w:hAnsi="Arial" w:cs="Arial"/>
                <w:b/>
                <w:sz w:val="24"/>
                <w:szCs w:val="24"/>
              </w:rPr>
            </w:pPr>
          </w:p>
        </w:tc>
        <w:tc>
          <w:tcPr>
            <w:tcW w:w="6502" w:type="dxa"/>
          </w:tcPr>
          <w:p w:rsidR="007241EE" w:rsidRPr="00D238D1" w:rsidRDefault="007241EE" w:rsidP="008F32CB">
            <w:pPr>
              <w:jc w:val="both"/>
              <w:rPr>
                <w:rFonts w:ascii="Arial" w:hAnsi="Arial" w:cs="Arial"/>
                <w:b/>
                <w:sz w:val="24"/>
                <w:szCs w:val="24"/>
              </w:rPr>
            </w:pPr>
            <w:r w:rsidRPr="00D238D1">
              <w:rPr>
                <w:rFonts w:ascii="Arial" w:hAnsi="Arial" w:cs="Arial"/>
                <w:b/>
                <w:sz w:val="24"/>
                <w:szCs w:val="24"/>
              </w:rPr>
              <w:t>Update/Latest Position</w:t>
            </w:r>
          </w:p>
        </w:tc>
      </w:tr>
      <w:tr w:rsidR="007241EE" w:rsidRPr="00D238D1" w:rsidTr="008F32CB">
        <w:tc>
          <w:tcPr>
            <w:tcW w:w="2712" w:type="dxa"/>
          </w:tcPr>
          <w:p w:rsidR="007241EE" w:rsidRPr="00D238D1" w:rsidRDefault="007241EE" w:rsidP="008F32CB">
            <w:pPr>
              <w:jc w:val="both"/>
              <w:rPr>
                <w:rFonts w:ascii="Arial" w:hAnsi="Arial" w:cs="Arial"/>
                <w:b/>
                <w:sz w:val="24"/>
                <w:szCs w:val="24"/>
              </w:rPr>
            </w:pPr>
            <w:r w:rsidRPr="00D238D1">
              <w:rPr>
                <w:rFonts w:ascii="Arial" w:hAnsi="Arial" w:cs="Arial"/>
                <w:b/>
                <w:sz w:val="24"/>
                <w:szCs w:val="24"/>
              </w:rPr>
              <w:t xml:space="preserve">Preston Western Distributor </w:t>
            </w:r>
          </w:p>
        </w:tc>
        <w:tc>
          <w:tcPr>
            <w:tcW w:w="6502" w:type="dxa"/>
          </w:tcPr>
          <w:p w:rsidR="007241EE" w:rsidRPr="00D238D1" w:rsidRDefault="007241EE" w:rsidP="008F32CB">
            <w:pPr>
              <w:pStyle w:val="Subtitle"/>
            </w:pPr>
            <w:r w:rsidRPr="005F48CC">
              <w:rPr>
                <w:rFonts w:ascii="Arial" w:hAnsi="Arial" w:cs="Arial"/>
                <w:color w:val="auto"/>
                <w:sz w:val="24"/>
                <w:szCs w:val="24"/>
              </w:rPr>
              <w:t>See detailed report included elsewhere on the E&amp;SB Agenda</w:t>
            </w:r>
          </w:p>
        </w:tc>
      </w:tr>
      <w:tr w:rsidR="007241EE" w:rsidRPr="00D238D1" w:rsidTr="008F32CB">
        <w:tc>
          <w:tcPr>
            <w:tcW w:w="2712" w:type="dxa"/>
          </w:tcPr>
          <w:p w:rsidR="007241EE" w:rsidRPr="00D238D1" w:rsidRDefault="007241EE" w:rsidP="008F32CB">
            <w:pPr>
              <w:jc w:val="both"/>
              <w:rPr>
                <w:rFonts w:ascii="Arial" w:hAnsi="Arial" w:cs="Arial"/>
                <w:b/>
                <w:sz w:val="24"/>
                <w:szCs w:val="24"/>
              </w:rPr>
            </w:pPr>
            <w:r w:rsidRPr="00D238D1">
              <w:rPr>
                <w:rFonts w:ascii="Arial" w:hAnsi="Arial" w:cs="Arial"/>
                <w:b/>
                <w:sz w:val="24"/>
                <w:szCs w:val="24"/>
              </w:rPr>
              <w:t>East/West Link Road</w:t>
            </w:r>
          </w:p>
        </w:tc>
        <w:tc>
          <w:tcPr>
            <w:tcW w:w="6502" w:type="dxa"/>
          </w:tcPr>
          <w:p w:rsidR="007241EE" w:rsidRPr="00D238D1" w:rsidRDefault="007241EE" w:rsidP="008F32CB">
            <w:pPr>
              <w:jc w:val="both"/>
              <w:rPr>
                <w:rFonts w:ascii="Arial" w:hAnsi="Arial" w:cs="Arial"/>
                <w:sz w:val="24"/>
                <w:szCs w:val="24"/>
              </w:rPr>
            </w:pPr>
            <w:r>
              <w:rPr>
                <w:rFonts w:ascii="Arial" w:hAnsi="Arial" w:cs="Arial"/>
                <w:sz w:val="24"/>
                <w:szCs w:val="24"/>
              </w:rPr>
              <w:t>See detailed report included elsewhere on the E&amp;SB Agenda</w:t>
            </w:r>
          </w:p>
        </w:tc>
      </w:tr>
      <w:tr w:rsidR="007241EE" w:rsidRPr="00D238D1" w:rsidTr="008F32CB">
        <w:tc>
          <w:tcPr>
            <w:tcW w:w="2712" w:type="dxa"/>
          </w:tcPr>
          <w:p w:rsidR="007241EE" w:rsidRPr="00D238D1" w:rsidRDefault="007241EE" w:rsidP="008F32CB">
            <w:pPr>
              <w:jc w:val="both"/>
              <w:rPr>
                <w:rFonts w:ascii="Arial" w:hAnsi="Arial" w:cs="Arial"/>
                <w:b/>
                <w:sz w:val="24"/>
                <w:szCs w:val="24"/>
              </w:rPr>
            </w:pPr>
            <w:r>
              <w:rPr>
                <w:rFonts w:ascii="Arial" w:hAnsi="Arial" w:cs="Arial"/>
                <w:b/>
                <w:sz w:val="24"/>
                <w:szCs w:val="24"/>
              </w:rPr>
              <w:t>Broughton Bypass</w:t>
            </w:r>
          </w:p>
        </w:tc>
        <w:tc>
          <w:tcPr>
            <w:tcW w:w="6502" w:type="dxa"/>
          </w:tcPr>
          <w:p w:rsidR="007241EE" w:rsidRPr="00D238D1" w:rsidRDefault="007241EE" w:rsidP="008F32CB">
            <w:pPr>
              <w:jc w:val="both"/>
              <w:rPr>
                <w:rFonts w:ascii="Arial" w:hAnsi="Arial" w:cs="Arial"/>
                <w:sz w:val="24"/>
                <w:szCs w:val="24"/>
              </w:rPr>
            </w:pPr>
            <w:r>
              <w:rPr>
                <w:rFonts w:ascii="Arial" w:hAnsi="Arial" w:cs="Arial"/>
                <w:sz w:val="24"/>
                <w:szCs w:val="24"/>
              </w:rPr>
              <w:t>See detailed report included elsewhere on the E&amp;SB Agenda</w:t>
            </w:r>
          </w:p>
        </w:tc>
      </w:tr>
      <w:tr w:rsidR="007241EE" w:rsidRPr="00D238D1" w:rsidTr="008F32CB">
        <w:tc>
          <w:tcPr>
            <w:tcW w:w="2712" w:type="dxa"/>
          </w:tcPr>
          <w:p w:rsidR="007241EE" w:rsidRPr="00D238D1" w:rsidRDefault="007241EE" w:rsidP="008F32CB">
            <w:pPr>
              <w:pStyle w:val="ListParagraph"/>
              <w:ind w:left="0"/>
              <w:rPr>
                <w:rFonts w:ascii="Arial" w:hAnsi="Arial" w:cs="Arial"/>
                <w:sz w:val="24"/>
                <w:szCs w:val="24"/>
              </w:rPr>
            </w:pPr>
            <w:r w:rsidRPr="00D238D1">
              <w:rPr>
                <w:rFonts w:ascii="Arial" w:hAnsi="Arial" w:cs="Arial"/>
                <w:b/>
                <w:sz w:val="24"/>
                <w:szCs w:val="24"/>
              </w:rPr>
              <w:t xml:space="preserve">Pickerings Farm - </w:t>
            </w:r>
            <w:r w:rsidRPr="00D238D1">
              <w:rPr>
                <w:rFonts w:ascii="Arial" w:hAnsi="Arial" w:cs="Arial"/>
                <w:sz w:val="24"/>
                <w:szCs w:val="24"/>
              </w:rPr>
              <w:t>Link Road cannot be progressed to design stage until bridge options have been determined and funding issues resolved.</w:t>
            </w:r>
          </w:p>
          <w:p w:rsidR="007241EE" w:rsidRPr="00D238D1" w:rsidRDefault="007241EE" w:rsidP="008F32CB">
            <w:pPr>
              <w:pStyle w:val="ListParagraph"/>
              <w:ind w:left="0"/>
              <w:rPr>
                <w:rFonts w:ascii="Arial" w:hAnsi="Arial" w:cs="Arial"/>
                <w:sz w:val="24"/>
                <w:szCs w:val="24"/>
              </w:rPr>
            </w:pPr>
          </w:p>
          <w:p w:rsidR="007241EE" w:rsidRPr="00D238D1" w:rsidRDefault="007241EE" w:rsidP="008F32CB">
            <w:pPr>
              <w:pStyle w:val="ListParagraph"/>
              <w:ind w:left="0"/>
              <w:rPr>
                <w:rFonts w:ascii="Arial" w:hAnsi="Arial" w:cs="Arial"/>
                <w:b/>
                <w:sz w:val="24"/>
                <w:szCs w:val="24"/>
              </w:rPr>
            </w:pPr>
            <w:r w:rsidRPr="00D238D1">
              <w:rPr>
                <w:rFonts w:ascii="Arial" w:hAnsi="Arial" w:cs="Arial"/>
                <w:sz w:val="24"/>
                <w:szCs w:val="24"/>
              </w:rPr>
              <w:t>Arrangements will need to be in place prior to detailed masterplanning being completed.</w:t>
            </w:r>
          </w:p>
        </w:tc>
        <w:tc>
          <w:tcPr>
            <w:tcW w:w="6502" w:type="dxa"/>
          </w:tcPr>
          <w:p w:rsidR="007241EE" w:rsidRPr="000A603C" w:rsidRDefault="007241EE" w:rsidP="008F32CB">
            <w:pPr>
              <w:rPr>
                <w:rFonts w:ascii="Arial" w:hAnsi="Arial" w:cs="Arial"/>
                <w:sz w:val="24"/>
                <w:szCs w:val="24"/>
              </w:rPr>
            </w:pPr>
            <w:r w:rsidRPr="000A603C">
              <w:rPr>
                <w:rFonts w:ascii="Arial" w:hAnsi="Arial" w:cs="Arial"/>
                <w:sz w:val="24"/>
                <w:szCs w:val="24"/>
              </w:rPr>
              <w:t>This site remains in the pre-application stage.  Based on the latest returns from the HCA and Taylor Wimpey, the proposed unit numbers have reduced from 1350 to 1200.</w:t>
            </w:r>
          </w:p>
          <w:p w:rsidR="007241EE" w:rsidRPr="000A603C" w:rsidRDefault="007241EE" w:rsidP="008F32CB">
            <w:pPr>
              <w:rPr>
                <w:rFonts w:ascii="Arial" w:hAnsi="Arial" w:cs="Arial"/>
                <w:sz w:val="24"/>
                <w:szCs w:val="24"/>
              </w:rPr>
            </w:pPr>
          </w:p>
          <w:p w:rsidR="007241EE" w:rsidRPr="000A603C" w:rsidRDefault="007241EE" w:rsidP="008F32CB">
            <w:pPr>
              <w:rPr>
                <w:rFonts w:ascii="Arial" w:hAnsi="Arial" w:cs="Arial"/>
                <w:sz w:val="24"/>
                <w:szCs w:val="24"/>
              </w:rPr>
            </w:pPr>
            <w:r w:rsidRPr="000A603C">
              <w:rPr>
                <w:rFonts w:ascii="Arial" w:hAnsi="Arial" w:cs="Arial"/>
                <w:sz w:val="24"/>
                <w:szCs w:val="24"/>
              </w:rPr>
              <w:t>Work is continuing with Taylor Wimpey on the Collaboration Agreement and the brief to appoint consultants to prepare the masterplan and undertake technical diligence will be concluded in June, following which the procurement exercise will commence.</w:t>
            </w:r>
          </w:p>
          <w:p w:rsidR="007241EE" w:rsidRDefault="007241EE" w:rsidP="008F32CB">
            <w:pPr>
              <w:rPr>
                <w:rFonts w:ascii="Arial" w:hAnsi="Arial" w:cs="Arial"/>
                <w:b/>
                <w:sz w:val="24"/>
                <w:szCs w:val="24"/>
              </w:rPr>
            </w:pPr>
          </w:p>
          <w:p w:rsidR="007241EE" w:rsidRPr="00D238D1" w:rsidRDefault="007241EE" w:rsidP="008F32CB">
            <w:pPr>
              <w:rPr>
                <w:rFonts w:ascii="Arial" w:hAnsi="Arial" w:cs="Arial"/>
                <w:b/>
                <w:sz w:val="24"/>
                <w:szCs w:val="24"/>
              </w:rPr>
            </w:pPr>
          </w:p>
        </w:tc>
      </w:tr>
      <w:tr w:rsidR="007241EE" w:rsidRPr="00D238D1" w:rsidTr="008F32CB">
        <w:tc>
          <w:tcPr>
            <w:tcW w:w="2712" w:type="dxa"/>
          </w:tcPr>
          <w:p w:rsidR="007241EE" w:rsidRPr="00D238D1" w:rsidRDefault="007241EE" w:rsidP="008F32CB">
            <w:pPr>
              <w:jc w:val="both"/>
              <w:rPr>
                <w:rFonts w:ascii="Arial" w:hAnsi="Arial" w:cs="Arial"/>
                <w:b/>
                <w:sz w:val="24"/>
                <w:szCs w:val="24"/>
              </w:rPr>
            </w:pPr>
            <w:r w:rsidRPr="00D238D1">
              <w:rPr>
                <w:rFonts w:ascii="Arial" w:hAnsi="Arial" w:cs="Arial"/>
                <w:b/>
                <w:sz w:val="24"/>
                <w:szCs w:val="24"/>
              </w:rPr>
              <w:t xml:space="preserve">Fishergate Phase 3 </w:t>
            </w:r>
          </w:p>
        </w:tc>
        <w:tc>
          <w:tcPr>
            <w:tcW w:w="6502" w:type="dxa"/>
          </w:tcPr>
          <w:p w:rsidR="007241EE" w:rsidRPr="00D238D1" w:rsidRDefault="007241EE" w:rsidP="008F32CB">
            <w:pPr>
              <w:jc w:val="both"/>
              <w:rPr>
                <w:rFonts w:ascii="Arial" w:hAnsi="Arial" w:cs="Arial"/>
                <w:sz w:val="24"/>
                <w:szCs w:val="24"/>
              </w:rPr>
            </w:pPr>
            <w:r w:rsidRPr="00D238D1">
              <w:rPr>
                <w:rFonts w:ascii="Arial" w:hAnsi="Arial" w:cs="Arial"/>
                <w:sz w:val="24"/>
                <w:szCs w:val="24"/>
              </w:rPr>
              <w:t>Scheme finance profile and delivery timescales currently being reviewed and revi</w:t>
            </w:r>
            <w:r>
              <w:rPr>
                <w:rFonts w:ascii="Arial" w:hAnsi="Arial" w:cs="Arial"/>
                <w:sz w:val="24"/>
                <w:szCs w:val="24"/>
              </w:rPr>
              <w:t>sed update to be provided to a future meeting of the E&amp;SB.</w:t>
            </w:r>
          </w:p>
        </w:tc>
      </w:tr>
      <w:tr w:rsidR="007241EE" w:rsidRPr="00D238D1" w:rsidTr="008F32CB">
        <w:tc>
          <w:tcPr>
            <w:tcW w:w="2712" w:type="dxa"/>
          </w:tcPr>
          <w:p w:rsidR="007241EE" w:rsidRPr="00D238D1" w:rsidRDefault="007241EE" w:rsidP="008F32CB">
            <w:pPr>
              <w:jc w:val="both"/>
              <w:rPr>
                <w:rFonts w:ascii="Arial" w:hAnsi="Arial" w:cs="Arial"/>
                <w:b/>
                <w:sz w:val="24"/>
                <w:szCs w:val="24"/>
              </w:rPr>
            </w:pPr>
            <w:r w:rsidRPr="00D238D1">
              <w:rPr>
                <w:rFonts w:ascii="Arial" w:hAnsi="Arial" w:cs="Arial"/>
                <w:b/>
                <w:sz w:val="24"/>
                <w:szCs w:val="24"/>
              </w:rPr>
              <w:t>East Cliff Cycle Link and Bridge</w:t>
            </w:r>
          </w:p>
          <w:p w:rsidR="007241EE" w:rsidRPr="00D238D1" w:rsidRDefault="007241EE" w:rsidP="008F32CB">
            <w:pPr>
              <w:rPr>
                <w:rFonts w:ascii="Arial" w:hAnsi="Arial" w:cs="Arial"/>
                <w:b/>
                <w:sz w:val="24"/>
                <w:szCs w:val="24"/>
              </w:rPr>
            </w:pPr>
          </w:p>
        </w:tc>
        <w:tc>
          <w:tcPr>
            <w:tcW w:w="6502" w:type="dxa"/>
          </w:tcPr>
          <w:p w:rsidR="007241EE" w:rsidRPr="00D238D1" w:rsidRDefault="007241EE" w:rsidP="008F32CB">
            <w:pPr>
              <w:jc w:val="both"/>
              <w:rPr>
                <w:rFonts w:ascii="Arial" w:hAnsi="Arial" w:cs="Arial"/>
                <w:sz w:val="24"/>
                <w:szCs w:val="24"/>
              </w:rPr>
            </w:pPr>
            <w:r w:rsidRPr="00D238D1">
              <w:rPr>
                <w:rFonts w:ascii="Arial" w:hAnsi="Arial" w:cs="Arial"/>
                <w:sz w:val="24"/>
                <w:szCs w:val="24"/>
              </w:rPr>
              <w:t>The delivery of the cycle link hinges on the decision of Network Rail as to whether to allow it to pass</w:t>
            </w:r>
            <w:r>
              <w:rPr>
                <w:rFonts w:ascii="Arial" w:hAnsi="Arial" w:cs="Arial"/>
                <w:sz w:val="24"/>
                <w:szCs w:val="24"/>
              </w:rPr>
              <w:t xml:space="preserve"> under the existing bridge.  </w:t>
            </w:r>
          </w:p>
        </w:tc>
      </w:tr>
    </w:tbl>
    <w:p w:rsidR="007241EE" w:rsidRDefault="007241EE" w:rsidP="007241EE">
      <w:pPr>
        <w:ind w:hanging="426"/>
        <w:rPr>
          <w:rFonts w:ascii="Arial" w:hAnsi="Arial" w:cs="Arial"/>
          <w:b/>
          <w:sz w:val="24"/>
          <w:szCs w:val="24"/>
          <w:u w:val="single"/>
        </w:rPr>
      </w:pPr>
    </w:p>
    <w:p w:rsidR="007241EE" w:rsidRDefault="007241EE" w:rsidP="00DA1650">
      <w:pPr>
        <w:rPr>
          <w:rFonts w:ascii="Arial" w:hAnsi="Arial" w:cs="Arial"/>
          <w:b/>
          <w:sz w:val="24"/>
          <w:szCs w:val="24"/>
          <w:u w:val="single"/>
        </w:rPr>
      </w:pPr>
      <w:r w:rsidRPr="00D869A7">
        <w:rPr>
          <w:rFonts w:ascii="Arial" w:hAnsi="Arial" w:cs="Arial"/>
          <w:b/>
          <w:sz w:val="24"/>
          <w:szCs w:val="24"/>
          <w:u w:val="single"/>
        </w:rPr>
        <w:t>Risk Management</w:t>
      </w:r>
      <w:r>
        <w:rPr>
          <w:rFonts w:ascii="Arial" w:hAnsi="Arial" w:cs="Arial"/>
          <w:b/>
          <w:sz w:val="24"/>
          <w:szCs w:val="24"/>
          <w:u w:val="single"/>
        </w:rPr>
        <w:t xml:space="preserve"> </w:t>
      </w:r>
    </w:p>
    <w:p w:rsidR="00DA1650" w:rsidRDefault="00DA1650" w:rsidP="00DA1650">
      <w:pPr>
        <w:rPr>
          <w:rFonts w:ascii="Arial" w:hAnsi="Arial" w:cs="Arial"/>
          <w:b/>
          <w:sz w:val="24"/>
          <w:szCs w:val="24"/>
          <w:u w:val="single"/>
        </w:rPr>
      </w:pPr>
    </w:p>
    <w:p w:rsidR="007241EE" w:rsidRDefault="007241EE" w:rsidP="00DA1650">
      <w:pPr>
        <w:rPr>
          <w:rFonts w:ascii="Arial" w:hAnsi="Arial" w:cs="Arial"/>
          <w:sz w:val="24"/>
          <w:szCs w:val="24"/>
        </w:rPr>
      </w:pPr>
      <w:r>
        <w:rPr>
          <w:rFonts w:ascii="Arial" w:hAnsi="Arial" w:cs="Arial"/>
          <w:sz w:val="24"/>
          <w:szCs w:val="24"/>
        </w:rPr>
        <w:t xml:space="preserve">Full details of all identified risks and responses are set out in Appendix 6. This section of the report seeks to highlight only 'new risks' or changes in mitigation/response to 'existing risks'. </w:t>
      </w:r>
    </w:p>
    <w:p w:rsidR="00DA1650" w:rsidRDefault="00DA1650" w:rsidP="00DA1650">
      <w:pPr>
        <w:rPr>
          <w:rFonts w:ascii="Arial" w:hAnsi="Arial" w:cs="Arial"/>
          <w:sz w:val="24"/>
          <w:szCs w:val="24"/>
        </w:rPr>
      </w:pPr>
    </w:p>
    <w:p w:rsidR="007241EE" w:rsidRDefault="007241EE" w:rsidP="00DA1650">
      <w:pPr>
        <w:rPr>
          <w:rFonts w:ascii="Arial" w:hAnsi="Arial" w:cs="Arial"/>
          <w:sz w:val="24"/>
          <w:szCs w:val="24"/>
        </w:rPr>
      </w:pPr>
      <w:r>
        <w:rPr>
          <w:rFonts w:ascii="Arial" w:hAnsi="Arial" w:cs="Arial"/>
          <w:sz w:val="24"/>
          <w:szCs w:val="24"/>
        </w:rPr>
        <w:t>During 2016/17 no 'new' risks have been identified and added to the schedule but mitigation/responses have changed in relation to existing identified risks as follows:</w:t>
      </w:r>
    </w:p>
    <w:p w:rsidR="007241EE" w:rsidRDefault="007241EE" w:rsidP="007241EE">
      <w:pPr>
        <w:ind w:hanging="426"/>
        <w:rPr>
          <w:rFonts w:ascii="Arial" w:hAnsi="Arial" w:cs="Arial"/>
          <w:sz w:val="24"/>
          <w:szCs w:val="24"/>
        </w:rPr>
      </w:pPr>
    </w:p>
    <w:tbl>
      <w:tblPr>
        <w:tblStyle w:val="TableGrid"/>
        <w:tblW w:w="0" w:type="auto"/>
        <w:tblLayout w:type="fixed"/>
        <w:tblLook w:val="04A0" w:firstRow="1" w:lastRow="0" w:firstColumn="1" w:lastColumn="0" w:noHBand="0" w:noVBand="1"/>
      </w:tblPr>
      <w:tblGrid>
        <w:gridCol w:w="4390"/>
        <w:gridCol w:w="1275"/>
        <w:gridCol w:w="3351"/>
      </w:tblGrid>
      <w:tr w:rsidR="007241EE" w:rsidRPr="00F97FA5" w:rsidTr="008F32CB">
        <w:trPr>
          <w:tblHeader/>
        </w:trPr>
        <w:tc>
          <w:tcPr>
            <w:tcW w:w="4390" w:type="dxa"/>
          </w:tcPr>
          <w:p w:rsidR="007241EE" w:rsidRPr="00F97FA5" w:rsidRDefault="007241EE" w:rsidP="008F32CB">
            <w:pPr>
              <w:rPr>
                <w:rFonts w:ascii="Arial" w:hAnsi="Arial" w:cs="Arial"/>
                <w:b/>
                <w:sz w:val="24"/>
                <w:szCs w:val="24"/>
              </w:rPr>
            </w:pPr>
            <w:r>
              <w:rPr>
                <w:rFonts w:ascii="Arial" w:hAnsi="Arial" w:cs="Arial"/>
                <w:b/>
                <w:sz w:val="24"/>
                <w:szCs w:val="24"/>
              </w:rPr>
              <w:lastRenderedPageBreak/>
              <w:t xml:space="preserve">Risk description </w:t>
            </w:r>
          </w:p>
        </w:tc>
        <w:tc>
          <w:tcPr>
            <w:tcW w:w="1275" w:type="dxa"/>
          </w:tcPr>
          <w:p w:rsidR="007241EE" w:rsidRDefault="007241EE" w:rsidP="008F32CB">
            <w:pPr>
              <w:rPr>
                <w:rFonts w:ascii="Arial" w:hAnsi="Arial" w:cs="Arial"/>
                <w:b/>
                <w:sz w:val="24"/>
                <w:szCs w:val="24"/>
              </w:rPr>
            </w:pPr>
            <w:r>
              <w:rPr>
                <w:rFonts w:ascii="Arial" w:hAnsi="Arial" w:cs="Arial"/>
                <w:b/>
                <w:sz w:val="24"/>
                <w:szCs w:val="24"/>
              </w:rPr>
              <w:t>New risk/</w:t>
            </w:r>
          </w:p>
          <w:p w:rsidR="007241EE" w:rsidRPr="00E41EF8" w:rsidRDefault="007241EE" w:rsidP="008F32CB">
            <w:pPr>
              <w:rPr>
                <w:rFonts w:ascii="Arial" w:hAnsi="Arial" w:cs="Arial"/>
                <w:b/>
                <w:sz w:val="24"/>
                <w:szCs w:val="24"/>
              </w:rPr>
            </w:pPr>
            <w:r w:rsidRPr="00E41EF8">
              <w:rPr>
                <w:rFonts w:ascii="Arial" w:hAnsi="Arial" w:cs="Arial"/>
                <w:b/>
                <w:sz w:val="24"/>
                <w:szCs w:val="24"/>
              </w:rPr>
              <w:t>Existing</w:t>
            </w:r>
            <w:r>
              <w:rPr>
                <w:rFonts w:ascii="Arial" w:hAnsi="Arial" w:cs="Arial"/>
                <w:b/>
                <w:sz w:val="24"/>
                <w:szCs w:val="24"/>
              </w:rPr>
              <w:t xml:space="preserve"> risk</w:t>
            </w:r>
            <w:r w:rsidRPr="00E41EF8">
              <w:rPr>
                <w:rFonts w:ascii="Arial" w:hAnsi="Arial" w:cs="Arial"/>
                <w:b/>
                <w:sz w:val="24"/>
                <w:szCs w:val="24"/>
              </w:rPr>
              <w:t xml:space="preserve"> </w:t>
            </w:r>
          </w:p>
        </w:tc>
        <w:tc>
          <w:tcPr>
            <w:tcW w:w="3351" w:type="dxa"/>
          </w:tcPr>
          <w:p w:rsidR="007241EE" w:rsidRPr="004365B8" w:rsidRDefault="007241EE" w:rsidP="008F32CB">
            <w:pPr>
              <w:rPr>
                <w:rFonts w:ascii="Arial" w:hAnsi="Arial" w:cs="Arial"/>
                <w:b/>
                <w:sz w:val="24"/>
                <w:szCs w:val="24"/>
              </w:rPr>
            </w:pPr>
            <w:r w:rsidRPr="004365B8">
              <w:rPr>
                <w:rFonts w:ascii="Arial" w:hAnsi="Arial" w:cs="Arial"/>
                <w:b/>
                <w:sz w:val="24"/>
                <w:szCs w:val="24"/>
              </w:rPr>
              <w:t>Mitigation/response</w:t>
            </w:r>
            <w:r>
              <w:rPr>
                <w:rFonts w:ascii="Arial" w:hAnsi="Arial" w:cs="Arial"/>
                <w:b/>
                <w:sz w:val="24"/>
                <w:szCs w:val="24"/>
              </w:rPr>
              <w:t xml:space="preserve"> update:</w:t>
            </w:r>
          </w:p>
        </w:tc>
      </w:tr>
      <w:tr w:rsidR="007241EE" w:rsidRPr="00F97FA5" w:rsidTr="008F32CB">
        <w:tc>
          <w:tcPr>
            <w:tcW w:w="4390" w:type="dxa"/>
            <w:shd w:val="clear" w:color="auto" w:fill="D9D9D9" w:themeFill="background1" w:themeFillShade="D9"/>
          </w:tcPr>
          <w:p w:rsidR="007241EE" w:rsidRPr="00F97FA5" w:rsidRDefault="007241EE" w:rsidP="008F32CB">
            <w:pPr>
              <w:rPr>
                <w:rFonts w:ascii="Arial" w:hAnsi="Arial" w:cs="Arial"/>
                <w:b/>
                <w:sz w:val="24"/>
                <w:szCs w:val="24"/>
              </w:rPr>
            </w:pPr>
            <w:r>
              <w:rPr>
                <w:rFonts w:ascii="Arial" w:hAnsi="Arial" w:cs="Arial"/>
                <w:b/>
                <w:sz w:val="24"/>
                <w:szCs w:val="24"/>
              </w:rPr>
              <w:t>Planning</w:t>
            </w:r>
          </w:p>
        </w:tc>
        <w:tc>
          <w:tcPr>
            <w:tcW w:w="1275" w:type="dxa"/>
            <w:shd w:val="clear" w:color="auto" w:fill="D9D9D9" w:themeFill="background1" w:themeFillShade="D9"/>
          </w:tcPr>
          <w:p w:rsidR="007241EE" w:rsidRDefault="007241EE" w:rsidP="008F32CB">
            <w:pPr>
              <w:rPr>
                <w:rFonts w:ascii="Arial" w:hAnsi="Arial" w:cs="Arial"/>
                <w:b/>
                <w:sz w:val="24"/>
                <w:szCs w:val="24"/>
              </w:rPr>
            </w:pPr>
          </w:p>
        </w:tc>
        <w:tc>
          <w:tcPr>
            <w:tcW w:w="3351" w:type="dxa"/>
            <w:shd w:val="clear" w:color="auto" w:fill="D9D9D9" w:themeFill="background1" w:themeFillShade="D9"/>
          </w:tcPr>
          <w:p w:rsidR="007241EE" w:rsidRPr="004365B8" w:rsidRDefault="007241EE" w:rsidP="008F32CB">
            <w:pPr>
              <w:rPr>
                <w:rFonts w:ascii="Arial" w:hAnsi="Arial" w:cs="Arial"/>
                <w:b/>
                <w:sz w:val="24"/>
                <w:szCs w:val="24"/>
              </w:rPr>
            </w:pPr>
          </w:p>
        </w:tc>
      </w:tr>
      <w:tr w:rsidR="007241EE" w:rsidTr="008F32CB">
        <w:tc>
          <w:tcPr>
            <w:tcW w:w="4390" w:type="dxa"/>
          </w:tcPr>
          <w:p w:rsidR="007241EE" w:rsidRDefault="007241EE" w:rsidP="008F32CB">
            <w:pPr>
              <w:rPr>
                <w:rFonts w:ascii="Arial" w:hAnsi="Arial" w:cs="Arial"/>
                <w:sz w:val="24"/>
                <w:szCs w:val="24"/>
              </w:rPr>
            </w:pPr>
            <w:r>
              <w:rPr>
                <w:rFonts w:ascii="Arial" w:hAnsi="Arial" w:cs="Arial"/>
                <w:sz w:val="24"/>
                <w:szCs w:val="24"/>
              </w:rPr>
              <w:t xml:space="preserve">Risk associated with progressing, in particular, large housing site planning applications and the discharge of conditions. </w:t>
            </w:r>
          </w:p>
        </w:tc>
        <w:tc>
          <w:tcPr>
            <w:tcW w:w="1275" w:type="dxa"/>
          </w:tcPr>
          <w:p w:rsidR="007241EE" w:rsidRDefault="007241EE" w:rsidP="008F32CB">
            <w:pPr>
              <w:rPr>
                <w:rFonts w:ascii="Arial" w:hAnsi="Arial" w:cs="Arial"/>
                <w:sz w:val="24"/>
                <w:szCs w:val="24"/>
              </w:rPr>
            </w:pPr>
            <w:r>
              <w:rPr>
                <w:rFonts w:ascii="Arial" w:hAnsi="Arial" w:cs="Arial"/>
                <w:sz w:val="24"/>
                <w:szCs w:val="24"/>
              </w:rPr>
              <w:t>Existing risk</w:t>
            </w:r>
          </w:p>
        </w:tc>
        <w:tc>
          <w:tcPr>
            <w:tcW w:w="3351" w:type="dxa"/>
          </w:tcPr>
          <w:p w:rsidR="007241EE" w:rsidRPr="004365B8" w:rsidRDefault="007241EE" w:rsidP="008F32CB">
            <w:pPr>
              <w:rPr>
                <w:rFonts w:ascii="Arial" w:hAnsi="Arial" w:cs="Arial"/>
                <w:sz w:val="24"/>
                <w:szCs w:val="24"/>
              </w:rPr>
            </w:pPr>
            <w:r>
              <w:rPr>
                <w:rFonts w:ascii="Arial" w:hAnsi="Arial" w:cs="Arial"/>
                <w:sz w:val="24"/>
                <w:szCs w:val="24"/>
              </w:rPr>
              <w:t xml:space="preserve">This risk will be addressed via the </w:t>
            </w:r>
            <w:r w:rsidRPr="004365B8">
              <w:rPr>
                <w:rFonts w:ascii="Arial" w:hAnsi="Arial" w:cs="Arial"/>
                <w:sz w:val="24"/>
                <w:szCs w:val="24"/>
              </w:rPr>
              <w:t xml:space="preserve">Development Sites Delivery Group </w:t>
            </w:r>
            <w:r>
              <w:rPr>
                <w:rFonts w:ascii="Arial" w:hAnsi="Arial" w:cs="Arial"/>
                <w:sz w:val="24"/>
                <w:szCs w:val="24"/>
              </w:rPr>
              <w:t xml:space="preserve">(DSDG)  this group has </w:t>
            </w:r>
            <w:r w:rsidRPr="004365B8">
              <w:rPr>
                <w:rFonts w:ascii="Arial" w:hAnsi="Arial" w:cs="Arial"/>
                <w:sz w:val="24"/>
                <w:szCs w:val="24"/>
              </w:rPr>
              <w:t>a focus on identifying issues in the development process and identifying solutions</w:t>
            </w:r>
            <w:r>
              <w:rPr>
                <w:rFonts w:ascii="Arial" w:hAnsi="Arial" w:cs="Arial"/>
                <w:sz w:val="24"/>
                <w:szCs w:val="24"/>
              </w:rPr>
              <w:t xml:space="preserve"> in order to progress all large housing sites. An issues log is now in place for all key sites with responses and actions being formulated on an ongoing basis.</w:t>
            </w:r>
          </w:p>
        </w:tc>
      </w:tr>
      <w:tr w:rsidR="007241EE" w:rsidTr="008F32CB">
        <w:tc>
          <w:tcPr>
            <w:tcW w:w="4390" w:type="dxa"/>
          </w:tcPr>
          <w:p w:rsidR="007241EE" w:rsidRDefault="007241EE" w:rsidP="008F32CB">
            <w:pPr>
              <w:rPr>
                <w:rFonts w:ascii="Arial" w:hAnsi="Arial" w:cs="Arial"/>
                <w:sz w:val="24"/>
                <w:szCs w:val="24"/>
              </w:rPr>
            </w:pPr>
            <w:r>
              <w:rPr>
                <w:rFonts w:ascii="Arial" w:hAnsi="Arial" w:cs="Arial"/>
                <w:sz w:val="24"/>
                <w:szCs w:val="24"/>
              </w:rPr>
              <w:t>Planning officer capacity - general</w:t>
            </w:r>
          </w:p>
        </w:tc>
        <w:tc>
          <w:tcPr>
            <w:tcW w:w="1275" w:type="dxa"/>
          </w:tcPr>
          <w:p w:rsidR="007241EE" w:rsidRDefault="007241EE" w:rsidP="008F32CB">
            <w:pPr>
              <w:rPr>
                <w:rFonts w:ascii="Arial" w:hAnsi="Arial" w:cs="Arial"/>
                <w:sz w:val="24"/>
                <w:szCs w:val="24"/>
              </w:rPr>
            </w:pPr>
            <w:r>
              <w:rPr>
                <w:rFonts w:ascii="Arial" w:hAnsi="Arial" w:cs="Arial"/>
                <w:sz w:val="24"/>
                <w:szCs w:val="24"/>
              </w:rPr>
              <w:t>Existing risk</w:t>
            </w:r>
          </w:p>
        </w:tc>
        <w:tc>
          <w:tcPr>
            <w:tcW w:w="3351" w:type="dxa"/>
          </w:tcPr>
          <w:p w:rsidR="007241EE" w:rsidRPr="004365B8" w:rsidRDefault="007241EE" w:rsidP="008F32CB">
            <w:pPr>
              <w:rPr>
                <w:rFonts w:ascii="Arial" w:hAnsi="Arial" w:cs="Arial"/>
                <w:sz w:val="24"/>
                <w:szCs w:val="24"/>
              </w:rPr>
            </w:pPr>
            <w:r w:rsidRPr="004365B8">
              <w:rPr>
                <w:rFonts w:ascii="Arial" w:hAnsi="Arial" w:cs="Arial"/>
                <w:sz w:val="24"/>
                <w:szCs w:val="24"/>
              </w:rPr>
              <w:t xml:space="preserve">£200k has been granted from the HCA to provide additional capacity. </w:t>
            </w:r>
            <w:r>
              <w:rPr>
                <w:rFonts w:ascii="Arial" w:hAnsi="Arial" w:cs="Arial"/>
                <w:sz w:val="24"/>
                <w:szCs w:val="24"/>
              </w:rPr>
              <w:t xml:space="preserve">Some of that funding will be used to create a </w:t>
            </w:r>
            <w:r w:rsidRPr="004365B8">
              <w:rPr>
                <w:rFonts w:ascii="Arial" w:hAnsi="Arial" w:cs="Arial"/>
                <w:sz w:val="24"/>
                <w:szCs w:val="24"/>
              </w:rPr>
              <w:t>shared post between Preston and South Ribble</w:t>
            </w:r>
            <w:r>
              <w:rPr>
                <w:rFonts w:ascii="Arial" w:hAnsi="Arial" w:cs="Arial"/>
                <w:sz w:val="24"/>
                <w:szCs w:val="24"/>
              </w:rPr>
              <w:t xml:space="preserve"> </w:t>
            </w:r>
            <w:r w:rsidRPr="004365B8">
              <w:rPr>
                <w:rFonts w:ascii="Arial" w:hAnsi="Arial" w:cs="Arial"/>
                <w:sz w:val="24"/>
                <w:szCs w:val="24"/>
              </w:rPr>
              <w:t>which will focus on finding solutions to blockages to ensure sites come forward</w:t>
            </w:r>
            <w:r>
              <w:rPr>
                <w:rFonts w:ascii="Arial" w:hAnsi="Arial" w:cs="Arial"/>
                <w:sz w:val="24"/>
                <w:szCs w:val="24"/>
              </w:rPr>
              <w:t xml:space="preserve"> swiftly</w:t>
            </w:r>
            <w:r w:rsidRPr="004365B8">
              <w:rPr>
                <w:rFonts w:ascii="Arial" w:hAnsi="Arial" w:cs="Arial"/>
                <w:sz w:val="24"/>
                <w:szCs w:val="24"/>
              </w:rPr>
              <w:t>. Furthermore the Government is due to increase Planning Fees by 20% in July 2017. This will be invested in the development management services.</w:t>
            </w:r>
          </w:p>
        </w:tc>
      </w:tr>
      <w:tr w:rsidR="007241EE" w:rsidTr="008F32CB">
        <w:tc>
          <w:tcPr>
            <w:tcW w:w="4390" w:type="dxa"/>
          </w:tcPr>
          <w:p w:rsidR="007241EE" w:rsidRDefault="007241EE" w:rsidP="008F32CB">
            <w:pPr>
              <w:rPr>
                <w:rFonts w:ascii="Arial" w:hAnsi="Arial" w:cs="Arial"/>
                <w:sz w:val="24"/>
                <w:szCs w:val="24"/>
              </w:rPr>
            </w:pPr>
          </w:p>
        </w:tc>
        <w:tc>
          <w:tcPr>
            <w:tcW w:w="1275" w:type="dxa"/>
          </w:tcPr>
          <w:p w:rsidR="007241EE" w:rsidRDefault="007241EE" w:rsidP="008F32CB">
            <w:pPr>
              <w:rPr>
                <w:rFonts w:ascii="Arial" w:hAnsi="Arial" w:cs="Arial"/>
                <w:sz w:val="24"/>
                <w:szCs w:val="24"/>
              </w:rPr>
            </w:pPr>
          </w:p>
        </w:tc>
        <w:tc>
          <w:tcPr>
            <w:tcW w:w="3351" w:type="dxa"/>
          </w:tcPr>
          <w:p w:rsidR="007241EE" w:rsidRPr="004365B8" w:rsidRDefault="007241EE" w:rsidP="008F32CB">
            <w:pPr>
              <w:rPr>
                <w:rFonts w:ascii="Arial" w:hAnsi="Arial" w:cs="Arial"/>
                <w:sz w:val="24"/>
                <w:szCs w:val="24"/>
              </w:rPr>
            </w:pPr>
          </w:p>
        </w:tc>
      </w:tr>
      <w:tr w:rsidR="007241EE" w:rsidRPr="004365B8" w:rsidTr="008F32CB">
        <w:tc>
          <w:tcPr>
            <w:tcW w:w="4390" w:type="dxa"/>
            <w:shd w:val="clear" w:color="auto" w:fill="D9D9D9" w:themeFill="background1" w:themeFillShade="D9"/>
          </w:tcPr>
          <w:p w:rsidR="007241EE" w:rsidRPr="004365B8" w:rsidRDefault="007241EE" w:rsidP="008F32CB">
            <w:pPr>
              <w:rPr>
                <w:rFonts w:ascii="Arial" w:hAnsi="Arial" w:cs="Arial"/>
                <w:b/>
                <w:sz w:val="24"/>
                <w:szCs w:val="24"/>
              </w:rPr>
            </w:pPr>
            <w:r>
              <w:rPr>
                <w:rFonts w:ascii="Arial" w:hAnsi="Arial" w:cs="Arial"/>
                <w:b/>
                <w:sz w:val="24"/>
                <w:szCs w:val="24"/>
              </w:rPr>
              <w:t>C</w:t>
            </w:r>
            <w:r w:rsidRPr="004365B8">
              <w:rPr>
                <w:rFonts w:ascii="Arial" w:hAnsi="Arial" w:cs="Arial"/>
                <w:b/>
                <w:sz w:val="24"/>
                <w:szCs w:val="24"/>
              </w:rPr>
              <w:t>ommercial</w:t>
            </w:r>
          </w:p>
        </w:tc>
        <w:tc>
          <w:tcPr>
            <w:tcW w:w="1275" w:type="dxa"/>
            <w:shd w:val="clear" w:color="auto" w:fill="D9D9D9" w:themeFill="background1" w:themeFillShade="D9"/>
          </w:tcPr>
          <w:p w:rsidR="007241EE" w:rsidRPr="004365B8" w:rsidRDefault="007241EE" w:rsidP="008F32CB">
            <w:pPr>
              <w:rPr>
                <w:rFonts w:ascii="Arial" w:hAnsi="Arial" w:cs="Arial"/>
                <w:b/>
                <w:sz w:val="24"/>
                <w:szCs w:val="24"/>
              </w:rPr>
            </w:pPr>
          </w:p>
        </w:tc>
        <w:tc>
          <w:tcPr>
            <w:tcW w:w="3351" w:type="dxa"/>
            <w:shd w:val="clear" w:color="auto" w:fill="D9D9D9" w:themeFill="background1" w:themeFillShade="D9"/>
          </w:tcPr>
          <w:p w:rsidR="007241EE" w:rsidRPr="004365B8" w:rsidRDefault="007241EE" w:rsidP="008F32CB">
            <w:pPr>
              <w:rPr>
                <w:rFonts w:ascii="Arial" w:hAnsi="Arial" w:cs="Arial"/>
                <w:b/>
                <w:sz w:val="24"/>
                <w:szCs w:val="24"/>
              </w:rPr>
            </w:pPr>
          </w:p>
        </w:tc>
      </w:tr>
      <w:tr w:rsidR="007241EE" w:rsidRPr="00443F59" w:rsidTr="008F32CB">
        <w:tc>
          <w:tcPr>
            <w:tcW w:w="4390" w:type="dxa"/>
            <w:shd w:val="clear" w:color="auto" w:fill="auto"/>
          </w:tcPr>
          <w:p w:rsidR="007241EE" w:rsidRPr="00443F59" w:rsidRDefault="007241EE" w:rsidP="008F32CB">
            <w:pPr>
              <w:rPr>
                <w:rFonts w:ascii="Arial" w:hAnsi="Arial" w:cs="Arial"/>
                <w:sz w:val="24"/>
                <w:szCs w:val="24"/>
              </w:rPr>
            </w:pPr>
          </w:p>
        </w:tc>
        <w:tc>
          <w:tcPr>
            <w:tcW w:w="1275" w:type="dxa"/>
            <w:shd w:val="clear" w:color="auto" w:fill="auto"/>
          </w:tcPr>
          <w:p w:rsidR="007241EE" w:rsidRPr="00443F59" w:rsidRDefault="007241EE" w:rsidP="008F32CB">
            <w:pPr>
              <w:rPr>
                <w:rFonts w:ascii="Arial" w:hAnsi="Arial" w:cs="Arial"/>
                <w:sz w:val="24"/>
                <w:szCs w:val="24"/>
              </w:rPr>
            </w:pPr>
            <w:r w:rsidRPr="00443F59">
              <w:rPr>
                <w:rFonts w:ascii="Arial" w:hAnsi="Arial" w:cs="Arial"/>
                <w:sz w:val="24"/>
                <w:szCs w:val="24"/>
              </w:rPr>
              <w:t>No new risks identified</w:t>
            </w:r>
          </w:p>
        </w:tc>
        <w:tc>
          <w:tcPr>
            <w:tcW w:w="3351" w:type="dxa"/>
            <w:shd w:val="clear" w:color="auto" w:fill="auto"/>
          </w:tcPr>
          <w:p w:rsidR="007241EE" w:rsidRPr="00443F59" w:rsidRDefault="007241EE" w:rsidP="008F32CB">
            <w:pPr>
              <w:rPr>
                <w:rFonts w:ascii="Arial" w:hAnsi="Arial" w:cs="Arial"/>
                <w:sz w:val="24"/>
                <w:szCs w:val="24"/>
              </w:rPr>
            </w:pPr>
          </w:p>
        </w:tc>
      </w:tr>
      <w:tr w:rsidR="007241EE" w:rsidRPr="004365B8" w:rsidTr="008F32CB">
        <w:tc>
          <w:tcPr>
            <w:tcW w:w="4390" w:type="dxa"/>
            <w:shd w:val="clear" w:color="auto" w:fill="D9D9D9" w:themeFill="background1" w:themeFillShade="D9"/>
          </w:tcPr>
          <w:p w:rsidR="007241EE" w:rsidRPr="004365B8" w:rsidRDefault="007241EE" w:rsidP="008F32CB">
            <w:pPr>
              <w:rPr>
                <w:rFonts w:ascii="Arial" w:hAnsi="Arial" w:cs="Arial"/>
                <w:b/>
                <w:sz w:val="24"/>
                <w:szCs w:val="24"/>
              </w:rPr>
            </w:pPr>
            <w:r w:rsidRPr="004365B8">
              <w:rPr>
                <w:rFonts w:ascii="Arial" w:hAnsi="Arial" w:cs="Arial"/>
                <w:b/>
                <w:sz w:val="24"/>
                <w:szCs w:val="24"/>
              </w:rPr>
              <w:t>Political</w:t>
            </w:r>
          </w:p>
        </w:tc>
        <w:tc>
          <w:tcPr>
            <w:tcW w:w="1275" w:type="dxa"/>
            <w:shd w:val="clear" w:color="auto" w:fill="D9D9D9" w:themeFill="background1" w:themeFillShade="D9"/>
          </w:tcPr>
          <w:p w:rsidR="007241EE" w:rsidRPr="004365B8" w:rsidRDefault="007241EE" w:rsidP="008F32CB">
            <w:pPr>
              <w:rPr>
                <w:rFonts w:ascii="Arial" w:hAnsi="Arial" w:cs="Arial"/>
                <w:b/>
                <w:sz w:val="24"/>
                <w:szCs w:val="24"/>
              </w:rPr>
            </w:pPr>
          </w:p>
        </w:tc>
        <w:tc>
          <w:tcPr>
            <w:tcW w:w="3351" w:type="dxa"/>
            <w:shd w:val="clear" w:color="auto" w:fill="D9D9D9" w:themeFill="background1" w:themeFillShade="D9"/>
          </w:tcPr>
          <w:p w:rsidR="007241EE" w:rsidRPr="004365B8" w:rsidRDefault="007241EE" w:rsidP="008F32CB">
            <w:pPr>
              <w:rPr>
                <w:rFonts w:ascii="Arial" w:hAnsi="Arial" w:cs="Arial"/>
                <w:b/>
                <w:sz w:val="24"/>
                <w:szCs w:val="24"/>
              </w:rPr>
            </w:pPr>
          </w:p>
        </w:tc>
      </w:tr>
      <w:tr w:rsidR="007241EE" w:rsidTr="008F32CB">
        <w:tc>
          <w:tcPr>
            <w:tcW w:w="4390" w:type="dxa"/>
          </w:tcPr>
          <w:p w:rsidR="007241EE" w:rsidRDefault="007241EE" w:rsidP="008F32CB">
            <w:pPr>
              <w:rPr>
                <w:rFonts w:ascii="Arial" w:hAnsi="Arial" w:cs="Arial"/>
                <w:sz w:val="24"/>
                <w:szCs w:val="24"/>
              </w:rPr>
            </w:pPr>
          </w:p>
        </w:tc>
        <w:tc>
          <w:tcPr>
            <w:tcW w:w="1275" w:type="dxa"/>
          </w:tcPr>
          <w:p w:rsidR="007241EE" w:rsidRDefault="007241EE" w:rsidP="008F32CB">
            <w:pPr>
              <w:rPr>
                <w:rFonts w:ascii="Arial" w:hAnsi="Arial" w:cs="Arial"/>
                <w:sz w:val="24"/>
                <w:szCs w:val="24"/>
              </w:rPr>
            </w:pPr>
            <w:r>
              <w:rPr>
                <w:rFonts w:ascii="Arial" w:hAnsi="Arial" w:cs="Arial"/>
                <w:sz w:val="24"/>
                <w:szCs w:val="24"/>
              </w:rPr>
              <w:t>No new risks identified</w:t>
            </w:r>
          </w:p>
        </w:tc>
        <w:tc>
          <w:tcPr>
            <w:tcW w:w="3351" w:type="dxa"/>
          </w:tcPr>
          <w:p w:rsidR="007241EE" w:rsidRPr="004365B8" w:rsidRDefault="007241EE" w:rsidP="008F32CB">
            <w:pPr>
              <w:rPr>
                <w:rFonts w:ascii="Arial" w:hAnsi="Arial" w:cs="Arial"/>
                <w:sz w:val="24"/>
                <w:szCs w:val="24"/>
              </w:rPr>
            </w:pPr>
          </w:p>
        </w:tc>
      </w:tr>
      <w:tr w:rsidR="007241EE" w:rsidRPr="004365B8" w:rsidTr="008F32CB">
        <w:tc>
          <w:tcPr>
            <w:tcW w:w="4390" w:type="dxa"/>
            <w:shd w:val="clear" w:color="auto" w:fill="D9D9D9" w:themeFill="background1" w:themeFillShade="D9"/>
          </w:tcPr>
          <w:p w:rsidR="007241EE" w:rsidRPr="004365B8" w:rsidRDefault="007241EE" w:rsidP="008F32CB">
            <w:pPr>
              <w:rPr>
                <w:rFonts w:ascii="Arial" w:hAnsi="Arial" w:cs="Arial"/>
                <w:b/>
                <w:sz w:val="24"/>
                <w:szCs w:val="24"/>
              </w:rPr>
            </w:pPr>
            <w:r w:rsidRPr="004365B8">
              <w:rPr>
                <w:rFonts w:ascii="Arial" w:hAnsi="Arial" w:cs="Arial"/>
                <w:b/>
                <w:sz w:val="24"/>
                <w:szCs w:val="24"/>
              </w:rPr>
              <w:t>Delivery</w:t>
            </w:r>
          </w:p>
        </w:tc>
        <w:tc>
          <w:tcPr>
            <w:tcW w:w="1275" w:type="dxa"/>
            <w:shd w:val="clear" w:color="auto" w:fill="D9D9D9" w:themeFill="background1" w:themeFillShade="D9"/>
          </w:tcPr>
          <w:p w:rsidR="007241EE" w:rsidRPr="004365B8" w:rsidRDefault="007241EE" w:rsidP="008F32CB">
            <w:pPr>
              <w:rPr>
                <w:rFonts w:ascii="Arial" w:hAnsi="Arial" w:cs="Arial"/>
                <w:b/>
                <w:sz w:val="24"/>
                <w:szCs w:val="24"/>
              </w:rPr>
            </w:pPr>
          </w:p>
        </w:tc>
        <w:tc>
          <w:tcPr>
            <w:tcW w:w="3351" w:type="dxa"/>
            <w:shd w:val="clear" w:color="auto" w:fill="D9D9D9" w:themeFill="background1" w:themeFillShade="D9"/>
          </w:tcPr>
          <w:p w:rsidR="007241EE" w:rsidRPr="004365B8" w:rsidRDefault="007241EE" w:rsidP="008F32CB">
            <w:pPr>
              <w:rPr>
                <w:rFonts w:ascii="Arial" w:hAnsi="Arial" w:cs="Arial"/>
                <w:b/>
                <w:sz w:val="24"/>
                <w:szCs w:val="24"/>
              </w:rPr>
            </w:pPr>
          </w:p>
        </w:tc>
      </w:tr>
      <w:tr w:rsidR="007241EE" w:rsidTr="008F32CB">
        <w:tc>
          <w:tcPr>
            <w:tcW w:w="4390" w:type="dxa"/>
          </w:tcPr>
          <w:p w:rsidR="007241EE" w:rsidRPr="00E41EF8" w:rsidRDefault="007241EE" w:rsidP="008F32CB">
            <w:pPr>
              <w:rPr>
                <w:rFonts w:ascii="Arial" w:hAnsi="Arial" w:cs="Arial"/>
                <w:sz w:val="24"/>
                <w:szCs w:val="24"/>
              </w:rPr>
            </w:pPr>
            <w:r w:rsidRPr="00E41EF8">
              <w:rPr>
                <w:rFonts w:ascii="Arial" w:hAnsi="Arial" w:cs="Arial"/>
                <w:sz w:val="24"/>
                <w:szCs w:val="24"/>
              </w:rPr>
              <w:t xml:space="preserve">Housing and commercial construction and skills capacity  </w:t>
            </w:r>
          </w:p>
        </w:tc>
        <w:tc>
          <w:tcPr>
            <w:tcW w:w="1275" w:type="dxa"/>
          </w:tcPr>
          <w:p w:rsidR="007241EE" w:rsidRDefault="007241EE" w:rsidP="008F32CB">
            <w:pPr>
              <w:rPr>
                <w:rFonts w:ascii="Arial" w:hAnsi="Arial" w:cs="Arial"/>
                <w:sz w:val="24"/>
                <w:szCs w:val="24"/>
              </w:rPr>
            </w:pPr>
            <w:r>
              <w:rPr>
                <w:rFonts w:ascii="Arial" w:hAnsi="Arial" w:cs="Arial"/>
                <w:sz w:val="24"/>
                <w:szCs w:val="24"/>
              </w:rPr>
              <w:t>Existing risk</w:t>
            </w:r>
          </w:p>
        </w:tc>
        <w:tc>
          <w:tcPr>
            <w:tcW w:w="3351" w:type="dxa"/>
          </w:tcPr>
          <w:p w:rsidR="007241EE" w:rsidRPr="00E41EF8" w:rsidRDefault="007241EE" w:rsidP="008F32CB">
            <w:pPr>
              <w:rPr>
                <w:rFonts w:ascii="Arial" w:hAnsi="Arial" w:cs="Arial"/>
                <w:sz w:val="24"/>
                <w:szCs w:val="24"/>
              </w:rPr>
            </w:pPr>
            <w:r w:rsidRPr="00E41EF8">
              <w:rPr>
                <w:rFonts w:ascii="Arial" w:hAnsi="Arial" w:cs="Arial"/>
                <w:sz w:val="24"/>
                <w:szCs w:val="24"/>
              </w:rPr>
              <w:t>Metrics have been developed to establish targets and monitor programme effectiveness</w:t>
            </w:r>
          </w:p>
        </w:tc>
      </w:tr>
      <w:tr w:rsidR="007241EE" w:rsidTr="008F32CB">
        <w:tc>
          <w:tcPr>
            <w:tcW w:w="4390" w:type="dxa"/>
          </w:tcPr>
          <w:p w:rsidR="007241EE" w:rsidRPr="003E3DEE" w:rsidRDefault="007241EE" w:rsidP="008F32CB">
            <w:pPr>
              <w:rPr>
                <w:rFonts w:ascii="Arial" w:hAnsi="Arial" w:cs="Arial"/>
                <w:sz w:val="24"/>
                <w:szCs w:val="24"/>
              </w:rPr>
            </w:pPr>
            <w:r>
              <w:rPr>
                <w:rFonts w:ascii="Arial" w:hAnsi="Arial" w:cs="Arial"/>
                <w:sz w:val="24"/>
                <w:szCs w:val="24"/>
              </w:rPr>
              <w:lastRenderedPageBreak/>
              <w:t>Various delivery risks identified by house builders.</w:t>
            </w:r>
          </w:p>
          <w:p w:rsidR="007241EE" w:rsidRPr="003C5082" w:rsidRDefault="007241EE" w:rsidP="007241EE">
            <w:pPr>
              <w:pStyle w:val="ListParagraph"/>
              <w:numPr>
                <w:ilvl w:val="0"/>
                <w:numId w:val="43"/>
              </w:numPr>
              <w:rPr>
                <w:rFonts w:ascii="Arial" w:hAnsi="Arial" w:cs="Arial"/>
                <w:sz w:val="24"/>
                <w:szCs w:val="24"/>
              </w:rPr>
            </w:pPr>
            <w:r w:rsidRPr="003C5082">
              <w:rPr>
                <w:rFonts w:ascii="Arial" w:hAnsi="Arial" w:cs="Arial"/>
                <w:sz w:val="24"/>
                <w:szCs w:val="24"/>
              </w:rPr>
              <w:t xml:space="preserve">This is the first year developers can no longer benefit from pre-CIL permissions so all developments are liable to CIL. </w:t>
            </w:r>
          </w:p>
          <w:p w:rsidR="007241EE" w:rsidRPr="003C5082" w:rsidRDefault="007241EE" w:rsidP="007241EE">
            <w:pPr>
              <w:pStyle w:val="ListParagraph"/>
              <w:numPr>
                <w:ilvl w:val="0"/>
                <w:numId w:val="43"/>
              </w:numPr>
              <w:rPr>
                <w:rFonts w:ascii="Arial" w:hAnsi="Arial" w:cs="Arial"/>
                <w:sz w:val="24"/>
                <w:szCs w:val="24"/>
              </w:rPr>
            </w:pPr>
            <w:r w:rsidRPr="003C5082">
              <w:rPr>
                <w:rFonts w:ascii="Arial" w:hAnsi="Arial" w:cs="Arial"/>
                <w:sz w:val="24"/>
                <w:szCs w:val="24"/>
              </w:rPr>
              <w:t xml:space="preserve">Site specific issues on key strategic sites </w:t>
            </w:r>
          </w:p>
          <w:p w:rsidR="007241EE" w:rsidRPr="003C5082" w:rsidRDefault="007241EE" w:rsidP="007241EE">
            <w:pPr>
              <w:pStyle w:val="ListParagraph"/>
              <w:numPr>
                <w:ilvl w:val="0"/>
                <w:numId w:val="43"/>
              </w:numPr>
              <w:rPr>
                <w:rFonts w:ascii="Arial" w:hAnsi="Arial" w:cs="Arial"/>
                <w:sz w:val="24"/>
                <w:szCs w:val="24"/>
              </w:rPr>
            </w:pPr>
            <w:r w:rsidRPr="003C5082">
              <w:rPr>
                <w:rFonts w:ascii="Arial" w:hAnsi="Arial" w:cs="Arial"/>
                <w:sz w:val="24"/>
                <w:szCs w:val="24"/>
              </w:rPr>
              <w:t>Extensive range of sites available in the wider Central Lancashire market area which is allowing developers to be selective in the phasing of their developments</w:t>
            </w:r>
          </w:p>
          <w:p w:rsidR="007241EE" w:rsidRPr="003C5082" w:rsidRDefault="007241EE" w:rsidP="007241EE">
            <w:pPr>
              <w:pStyle w:val="ListParagraph"/>
              <w:numPr>
                <w:ilvl w:val="0"/>
                <w:numId w:val="43"/>
              </w:numPr>
              <w:rPr>
                <w:rFonts w:ascii="Arial" w:hAnsi="Arial" w:cs="Arial"/>
                <w:sz w:val="24"/>
                <w:szCs w:val="24"/>
              </w:rPr>
            </w:pPr>
            <w:r w:rsidRPr="003C5082">
              <w:rPr>
                <w:rFonts w:ascii="Arial" w:hAnsi="Arial" w:cs="Arial"/>
                <w:sz w:val="24"/>
                <w:szCs w:val="24"/>
              </w:rPr>
              <w:t>Developers desire to regulate the flow of new housing so as not to saturate the market</w:t>
            </w:r>
          </w:p>
          <w:p w:rsidR="007241EE" w:rsidRPr="003C5082" w:rsidRDefault="007241EE" w:rsidP="007241EE">
            <w:pPr>
              <w:pStyle w:val="ListParagraph"/>
              <w:numPr>
                <w:ilvl w:val="0"/>
                <w:numId w:val="43"/>
              </w:numPr>
              <w:rPr>
                <w:rFonts w:ascii="Arial" w:hAnsi="Arial" w:cs="Arial"/>
                <w:sz w:val="24"/>
                <w:szCs w:val="24"/>
              </w:rPr>
            </w:pPr>
            <w:r w:rsidRPr="003C5082">
              <w:rPr>
                <w:rFonts w:ascii="Arial" w:hAnsi="Arial" w:cs="Arial"/>
                <w:sz w:val="24"/>
                <w:szCs w:val="24"/>
              </w:rPr>
              <w:t>Uncertainty over the Government CIL review, housing white paper and delivery of Affordable Housing</w:t>
            </w:r>
          </w:p>
          <w:p w:rsidR="007241EE" w:rsidRPr="003C5082" w:rsidRDefault="007241EE" w:rsidP="007241EE">
            <w:pPr>
              <w:pStyle w:val="ListParagraph"/>
              <w:numPr>
                <w:ilvl w:val="0"/>
                <w:numId w:val="43"/>
              </w:numPr>
              <w:rPr>
                <w:rFonts w:ascii="Arial" w:hAnsi="Arial" w:cs="Arial"/>
                <w:sz w:val="24"/>
                <w:szCs w:val="24"/>
              </w:rPr>
            </w:pPr>
            <w:r w:rsidRPr="003C5082">
              <w:rPr>
                <w:rFonts w:ascii="Arial" w:hAnsi="Arial" w:cs="Arial"/>
                <w:sz w:val="24"/>
                <w:szCs w:val="24"/>
              </w:rPr>
              <w:t>On-going uncertainty as to the economic effect of Brexit.</w:t>
            </w:r>
          </w:p>
          <w:p w:rsidR="007241EE" w:rsidRPr="003C5082" w:rsidRDefault="007241EE" w:rsidP="007241EE">
            <w:pPr>
              <w:pStyle w:val="ListParagraph"/>
              <w:numPr>
                <w:ilvl w:val="0"/>
                <w:numId w:val="43"/>
              </w:numPr>
              <w:rPr>
                <w:rFonts w:ascii="Arial" w:hAnsi="Arial" w:cs="Arial"/>
                <w:sz w:val="24"/>
                <w:szCs w:val="24"/>
              </w:rPr>
            </w:pPr>
            <w:r w:rsidRPr="003C5082">
              <w:rPr>
                <w:rFonts w:ascii="Arial" w:hAnsi="Arial" w:cs="Arial"/>
                <w:sz w:val="24"/>
                <w:szCs w:val="24"/>
              </w:rPr>
              <w:t>Availability of materials and significant skills/labour shortages</w:t>
            </w:r>
          </w:p>
          <w:p w:rsidR="007241EE" w:rsidRPr="003C5082" w:rsidRDefault="007241EE" w:rsidP="007241EE">
            <w:pPr>
              <w:pStyle w:val="ListParagraph"/>
              <w:numPr>
                <w:ilvl w:val="0"/>
                <w:numId w:val="43"/>
              </w:numPr>
              <w:rPr>
                <w:rFonts w:ascii="Arial" w:hAnsi="Arial" w:cs="Arial"/>
                <w:sz w:val="24"/>
                <w:szCs w:val="24"/>
              </w:rPr>
            </w:pPr>
            <w:r w:rsidRPr="003C5082">
              <w:rPr>
                <w:rFonts w:ascii="Arial" w:hAnsi="Arial" w:cs="Arial"/>
                <w:sz w:val="24"/>
                <w:szCs w:val="24"/>
              </w:rPr>
              <w:t>Access to finance</w:t>
            </w:r>
          </w:p>
          <w:p w:rsidR="007241EE" w:rsidRPr="003C5082" w:rsidRDefault="007241EE" w:rsidP="007241EE">
            <w:pPr>
              <w:pStyle w:val="ListParagraph"/>
              <w:numPr>
                <w:ilvl w:val="0"/>
                <w:numId w:val="43"/>
              </w:numPr>
              <w:rPr>
                <w:rFonts w:ascii="Arial" w:hAnsi="Arial" w:cs="Arial"/>
                <w:sz w:val="24"/>
                <w:szCs w:val="24"/>
              </w:rPr>
            </w:pPr>
            <w:r w:rsidRPr="003C5082">
              <w:rPr>
                <w:rFonts w:ascii="Arial" w:hAnsi="Arial" w:cs="Arial"/>
                <w:sz w:val="24"/>
                <w:szCs w:val="24"/>
              </w:rPr>
              <w:t>In some cases sites already under construction are reaching the less marketable areas of the site and therefore completions are slower</w:t>
            </w:r>
          </w:p>
          <w:p w:rsidR="007241EE" w:rsidRPr="00E41EF8" w:rsidRDefault="007241EE" w:rsidP="008F32CB">
            <w:pPr>
              <w:rPr>
                <w:rFonts w:ascii="Arial" w:hAnsi="Arial" w:cs="Arial"/>
                <w:sz w:val="24"/>
                <w:szCs w:val="24"/>
              </w:rPr>
            </w:pPr>
          </w:p>
        </w:tc>
        <w:tc>
          <w:tcPr>
            <w:tcW w:w="1275" w:type="dxa"/>
          </w:tcPr>
          <w:p w:rsidR="007241EE" w:rsidRDefault="007241EE" w:rsidP="008F32CB">
            <w:pPr>
              <w:rPr>
                <w:rFonts w:ascii="Arial" w:hAnsi="Arial" w:cs="Arial"/>
                <w:sz w:val="24"/>
                <w:szCs w:val="24"/>
              </w:rPr>
            </w:pPr>
            <w:r>
              <w:rPr>
                <w:rFonts w:ascii="Arial" w:hAnsi="Arial" w:cs="Arial"/>
                <w:sz w:val="24"/>
                <w:szCs w:val="24"/>
              </w:rPr>
              <w:t>New risk</w:t>
            </w:r>
          </w:p>
        </w:tc>
        <w:tc>
          <w:tcPr>
            <w:tcW w:w="3351" w:type="dxa"/>
          </w:tcPr>
          <w:p w:rsidR="007241EE" w:rsidRPr="00E41EF8" w:rsidRDefault="007241EE" w:rsidP="008F32CB">
            <w:pPr>
              <w:rPr>
                <w:rFonts w:ascii="Arial" w:hAnsi="Arial" w:cs="Arial"/>
                <w:sz w:val="24"/>
                <w:szCs w:val="24"/>
              </w:rPr>
            </w:pPr>
            <w:r>
              <w:rPr>
                <w:rFonts w:ascii="Arial" w:hAnsi="Arial" w:cs="Arial"/>
                <w:sz w:val="24"/>
                <w:szCs w:val="24"/>
              </w:rPr>
              <w:t xml:space="preserve">Feedback from house builders across the city deal area has identified a variety of potential delivery risks.  It is proposed that DSDG will further evaluate and formulate appropriate responses to these risks as appropriate. </w:t>
            </w:r>
          </w:p>
        </w:tc>
      </w:tr>
      <w:tr w:rsidR="007241EE" w:rsidTr="008F32CB">
        <w:tc>
          <w:tcPr>
            <w:tcW w:w="4390" w:type="dxa"/>
            <w:shd w:val="clear" w:color="auto" w:fill="D9D9D9" w:themeFill="background1" w:themeFillShade="D9"/>
          </w:tcPr>
          <w:p w:rsidR="007241EE" w:rsidRPr="004365B8" w:rsidRDefault="007241EE" w:rsidP="008F32CB">
            <w:pPr>
              <w:rPr>
                <w:rFonts w:ascii="Arial" w:hAnsi="Arial" w:cs="Arial"/>
                <w:b/>
                <w:sz w:val="24"/>
                <w:szCs w:val="24"/>
              </w:rPr>
            </w:pPr>
            <w:r w:rsidRPr="004365B8">
              <w:rPr>
                <w:rFonts w:ascii="Arial" w:hAnsi="Arial" w:cs="Arial"/>
                <w:b/>
                <w:sz w:val="24"/>
                <w:szCs w:val="24"/>
              </w:rPr>
              <w:t>Policy and political risks</w:t>
            </w:r>
          </w:p>
        </w:tc>
        <w:tc>
          <w:tcPr>
            <w:tcW w:w="1275" w:type="dxa"/>
            <w:shd w:val="clear" w:color="auto" w:fill="D9D9D9" w:themeFill="background1" w:themeFillShade="D9"/>
          </w:tcPr>
          <w:p w:rsidR="007241EE" w:rsidRDefault="007241EE" w:rsidP="008F32CB">
            <w:pPr>
              <w:rPr>
                <w:rFonts w:ascii="Arial" w:hAnsi="Arial" w:cs="Arial"/>
                <w:sz w:val="24"/>
                <w:szCs w:val="24"/>
              </w:rPr>
            </w:pPr>
          </w:p>
        </w:tc>
        <w:tc>
          <w:tcPr>
            <w:tcW w:w="3351" w:type="dxa"/>
            <w:shd w:val="clear" w:color="auto" w:fill="D9D9D9" w:themeFill="background1" w:themeFillShade="D9"/>
          </w:tcPr>
          <w:p w:rsidR="007241EE" w:rsidRPr="004365B8" w:rsidRDefault="007241EE" w:rsidP="008F32CB">
            <w:pPr>
              <w:rPr>
                <w:rFonts w:ascii="Arial" w:hAnsi="Arial" w:cs="Arial"/>
                <w:sz w:val="24"/>
                <w:szCs w:val="24"/>
              </w:rPr>
            </w:pPr>
          </w:p>
        </w:tc>
      </w:tr>
      <w:tr w:rsidR="007241EE" w:rsidTr="008F32CB">
        <w:tc>
          <w:tcPr>
            <w:tcW w:w="4390" w:type="dxa"/>
          </w:tcPr>
          <w:p w:rsidR="007241EE" w:rsidRDefault="007241EE" w:rsidP="008F32CB">
            <w:pPr>
              <w:rPr>
                <w:rFonts w:ascii="Arial" w:hAnsi="Arial" w:cs="Arial"/>
                <w:sz w:val="24"/>
                <w:szCs w:val="24"/>
              </w:rPr>
            </w:pPr>
          </w:p>
        </w:tc>
        <w:tc>
          <w:tcPr>
            <w:tcW w:w="1275" w:type="dxa"/>
          </w:tcPr>
          <w:p w:rsidR="007241EE" w:rsidRDefault="007241EE" w:rsidP="008F32CB">
            <w:pPr>
              <w:rPr>
                <w:rFonts w:ascii="Arial" w:hAnsi="Arial" w:cs="Arial"/>
                <w:sz w:val="24"/>
                <w:szCs w:val="24"/>
              </w:rPr>
            </w:pPr>
            <w:r>
              <w:rPr>
                <w:rFonts w:ascii="Arial" w:hAnsi="Arial" w:cs="Arial"/>
                <w:sz w:val="24"/>
                <w:szCs w:val="24"/>
              </w:rPr>
              <w:t>No new risks identified</w:t>
            </w:r>
          </w:p>
        </w:tc>
        <w:tc>
          <w:tcPr>
            <w:tcW w:w="3351" w:type="dxa"/>
          </w:tcPr>
          <w:p w:rsidR="007241EE" w:rsidRPr="004365B8" w:rsidRDefault="007241EE" w:rsidP="008F32CB">
            <w:pPr>
              <w:rPr>
                <w:rFonts w:ascii="Arial" w:hAnsi="Arial" w:cs="Arial"/>
                <w:sz w:val="24"/>
                <w:szCs w:val="24"/>
              </w:rPr>
            </w:pPr>
          </w:p>
        </w:tc>
      </w:tr>
      <w:tr w:rsidR="007241EE" w:rsidTr="008F32CB">
        <w:tc>
          <w:tcPr>
            <w:tcW w:w="4390" w:type="dxa"/>
            <w:shd w:val="clear" w:color="auto" w:fill="D9D9D9" w:themeFill="background1" w:themeFillShade="D9"/>
          </w:tcPr>
          <w:p w:rsidR="007241EE" w:rsidRPr="004365B8" w:rsidRDefault="007241EE" w:rsidP="008F32CB">
            <w:pPr>
              <w:rPr>
                <w:rFonts w:ascii="Arial" w:hAnsi="Arial" w:cs="Arial"/>
                <w:b/>
                <w:sz w:val="24"/>
                <w:szCs w:val="24"/>
              </w:rPr>
            </w:pPr>
            <w:r w:rsidRPr="004365B8">
              <w:rPr>
                <w:rFonts w:ascii="Arial" w:hAnsi="Arial" w:cs="Arial"/>
                <w:b/>
                <w:sz w:val="24"/>
                <w:szCs w:val="24"/>
              </w:rPr>
              <w:t>Finance</w:t>
            </w:r>
          </w:p>
        </w:tc>
        <w:tc>
          <w:tcPr>
            <w:tcW w:w="1275" w:type="dxa"/>
            <w:shd w:val="clear" w:color="auto" w:fill="D9D9D9" w:themeFill="background1" w:themeFillShade="D9"/>
          </w:tcPr>
          <w:p w:rsidR="007241EE" w:rsidRDefault="007241EE" w:rsidP="008F32CB">
            <w:pPr>
              <w:rPr>
                <w:rFonts w:ascii="Arial" w:hAnsi="Arial" w:cs="Arial"/>
                <w:sz w:val="24"/>
                <w:szCs w:val="24"/>
              </w:rPr>
            </w:pPr>
          </w:p>
        </w:tc>
        <w:tc>
          <w:tcPr>
            <w:tcW w:w="3351" w:type="dxa"/>
            <w:shd w:val="clear" w:color="auto" w:fill="D9D9D9" w:themeFill="background1" w:themeFillShade="D9"/>
          </w:tcPr>
          <w:p w:rsidR="007241EE" w:rsidRPr="004365B8" w:rsidRDefault="007241EE" w:rsidP="008F32CB">
            <w:pPr>
              <w:rPr>
                <w:rFonts w:ascii="Arial" w:hAnsi="Arial" w:cs="Arial"/>
                <w:sz w:val="24"/>
                <w:szCs w:val="24"/>
              </w:rPr>
            </w:pPr>
          </w:p>
        </w:tc>
      </w:tr>
      <w:tr w:rsidR="007241EE" w:rsidTr="008F32CB">
        <w:tc>
          <w:tcPr>
            <w:tcW w:w="4390" w:type="dxa"/>
          </w:tcPr>
          <w:p w:rsidR="007241EE" w:rsidRDefault="007241EE" w:rsidP="008F32CB">
            <w:pPr>
              <w:rPr>
                <w:rFonts w:ascii="Arial" w:hAnsi="Arial" w:cs="Arial"/>
                <w:sz w:val="24"/>
                <w:szCs w:val="24"/>
              </w:rPr>
            </w:pPr>
          </w:p>
        </w:tc>
        <w:tc>
          <w:tcPr>
            <w:tcW w:w="1275" w:type="dxa"/>
          </w:tcPr>
          <w:p w:rsidR="007241EE" w:rsidRDefault="007241EE" w:rsidP="008F32CB">
            <w:pPr>
              <w:rPr>
                <w:rFonts w:ascii="Arial" w:hAnsi="Arial" w:cs="Arial"/>
                <w:sz w:val="24"/>
                <w:szCs w:val="24"/>
              </w:rPr>
            </w:pPr>
            <w:r>
              <w:rPr>
                <w:rFonts w:ascii="Arial" w:hAnsi="Arial" w:cs="Arial"/>
                <w:sz w:val="24"/>
                <w:szCs w:val="24"/>
              </w:rPr>
              <w:t>No new risks identified</w:t>
            </w:r>
          </w:p>
        </w:tc>
        <w:tc>
          <w:tcPr>
            <w:tcW w:w="3351" w:type="dxa"/>
          </w:tcPr>
          <w:p w:rsidR="007241EE" w:rsidRPr="004365B8" w:rsidRDefault="007241EE" w:rsidP="008F32CB">
            <w:pPr>
              <w:rPr>
                <w:rFonts w:ascii="Arial" w:hAnsi="Arial" w:cs="Arial"/>
                <w:sz w:val="24"/>
                <w:szCs w:val="24"/>
              </w:rPr>
            </w:pPr>
          </w:p>
        </w:tc>
      </w:tr>
    </w:tbl>
    <w:p w:rsidR="00DA1650" w:rsidRDefault="00DA1650" w:rsidP="007241EE">
      <w:pPr>
        <w:ind w:hanging="426"/>
        <w:rPr>
          <w:rFonts w:ascii="Arial" w:hAnsi="Arial" w:cs="Arial"/>
          <w:sz w:val="24"/>
          <w:szCs w:val="24"/>
        </w:rPr>
      </w:pPr>
    </w:p>
    <w:p w:rsidR="00DA1650" w:rsidRDefault="00DA1650" w:rsidP="007241EE">
      <w:pPr>
        <w:ind w:hanging="426"/>
        <w:rPr>
          <w:rFonts w:ascii="Arial" w:hAnsi="Arial" w:cs="Arial"/>
          <w:sz w:val="24"/>
          <w:szCs w:val="24"/>
        </w:rPr>
      </w:pPr>
    </w:p>
    <w:p w:rsidR="00DA1650" w:rsidRDefault="00DA1650" w:rsidP="007241EE">
      <w:pPr>
        <w:ind w:hanging="426"/>
        <w:rPr>
          <w:rFonts w:ascii="Arial" w:hAnsi="Arial" w:cs="Arial"/>
          <w:sz w:val="24"/>
          <w:szCs w:val="24"/>
        </w:rPr>
      </w:pPr>
    </w:p>
    <w:p w:rsidR="00DA1650" w:rsidRDefault="00DA1650" w:rsidP="007241EE">
      <w:pPr>
        <w:ind w:hanging="426"/>
        <w:rPr>
          <w:rFonts w:ascii="Arial" w:hAnsi="Arial" w:cs="Arial"/>
          <w:sz w:val="24"/>
          <w:szCs w:val="24"/>
        </w:rPr>
      </w:pPr>
    </w:p>
    <w:p w:rsidR="007241EE" w:rsidRDefault="007241EE" w:rsidP="00DA1650">
      <w:pPr>
        <w:rPr>
          <w:rFonts w:ascii="Arial" w:hAnsi="Arial" w:cs="Arial"/>
          <w:b/>
          <w:sz w:val="24"/>
          <w:szCs w:val="24"/>
        </w:rPr>
      </w:pPr>
      <w:r>
        <w:rPr>
          <w:rFonts w:ascii="Arial" w:hAnsi="Arial" w:cs="Arial"/>
          <w:b/>
          <w:sz w:val="24"/>
          <w:szCs w:val="24"/>
        </w:rPr>
        <w:t>Additional Supporting Activity</w:t>
      </w:r>
    </w:p>
    <w:p w:rsidR="007241EE" w:rsidRDefault="007241EE" w:rsidP="007241EE">
      <w:pPr>
        <w:ind w:hanging="426"/>
        <w:rPr>
          <w:rFonts w:ascii="Arial" w:hAnsi="Arial" w:cs="Arial"/>
          <w:b/>
          <w:sz w:val="24"/>
          <w:szCs w:val="24"/>
        </w:rPr>
      </w:pPr>
    </w:p>
    <w:p w:rsidR="007241EE" w:rsidRPr="006B0314" w:rsidRDefault="007241EE" w:rsidP="007241EE">
      <w:pPr>
        <w:rPr>
          <w:rFonts w:ascii="Arial" w:eastAsia="Calibri" w:hAnsi="Arial" w:cs="Arial"/>
          <w:b/>
          <w:sz w:val="24"/>
          <w:szCs w:val="24"/>
          <w:u w:val="single"/>
          <w:lang w:eastAsia="en-GB"/>
        </w:rPr>
      </w:pPr>
      <w:r w:rsidRPr="006B0314">
        <w:rPr>
          <w:rFonts w:ascii="Arial" w:eastAsia="Calibri" w:hAnsi="Arial" w:cs="Arial"/>
          <w:b/>
          <w:sz w:val="24"/>
          <w:szCs w:val="24"/>
          <w:u w:val="single"/>
          <w:lang w:eastAsia="en-GB"/>
        </w:rPr>
        <w:t>Invest Central Lancashire</w:t>
      </w:r>
    </w:p>
    <w:p w:rsidR="007241EE" w:rsidRPr="006B0314" w:rsidRDefault="007241EE" w:rsidP="007241EE">
      <w:pPr>
        <w:rPr>
          <w:rFonts w:ascii="Arial" w:eastAsia="Calibri" w:hAnsi="Arial" w:cs="Arial"/>
          <w:sz w:val="24"/>
          <w:szCs w:val="24"/>
          <w:lang w:eastAsia="en-GB"/>
        </w:rPr>
      </w:pPr>
    </w:p>
    <w:p w:rsidR="007241EE" w:rsidRPr="006B0314" w:rsidRDefault="007241EE" w:rsidP="007241EE">
      <w:pPr>
        <w:rPr>
          <w:rFonts w:ascii="Arial" w:hAnsi="Arial" w:cs="Arial"/>
          <w:sz w:val="24"/>
          <w:szCs w:val="24"/>
        </w:rPr>
      </w:pPr>
      <w:r w:rsidRPr="006B0314">
        <w:rPr>
          <w:rFonts w:ascii="Arial" w:eastAsia="Calibri" w:hAnsi="Arial" w:cs="Arial"/>
          <w:sz w:val="24"/>
          <w:szCs w:val="24"/>
          <w:lang w:eastAsia="en-GB"/>
        </w:rPr>
        <w:t xml:space="preserve">Significant work has been undertaken in recent months to develop </w:t>
      </w:r>
      <w:r w:rsidRPr="006B0314">
        <w:rPr>
          <w:rFonts w:ascii="Arial" w:hAnsi="Arial" w:cs="Arial"/>
          <w:sz w:val="24"/>
          <w:szCs w:val="24"/>
        </w:rPr>
        <w:t xml:space="preserve">a consistent investment narrative to ensure that high-level commercial investors are attracted to </w:t>
      </w:r>
      <w:r>
        <w:rPr>
          <w:rFonts w:ascii="Arial" w:hAnsi="Arial" w:cs="Arial"/>
          <w:sz w:val="24"/>
          <w:szCs w:val="24"/>
        </w:rPr>
        <w:t>C</w:t>
      </w:r>
      <w:r w:rsidRPr="006B0314">
        <w:rPr>
          <w:rFonts w:ascii="Arial" w:hAnsi="Arial" w:cs="Arial"/>
          <w:sz w:val="24"/>
          <w:szCs w:val="24"/>
        </w:rPr>
        <w:t>entral Lancashire.  An "Invest Central Lancashire" theme (building and utilising the We Are Lancashire – The Place for Growth – theme and narrative) was supported by the E&amp;SB and an accompanying prospectus is currently being developed.</w:t>
      </w:r>
    </w:p>
    <w:p w:rsidR="007241EE" w:rsidRPr="006B0314" w:rsidRDefault="007241EE" w:rsidP="007241EE">
      <w:pPr>
        <w:rPr>
          <w:rFonts w:ascii="Arial" w:hAnsi="Arial" w:cs="Arial"/>
          <w:sz w:val="24"/>
          <w:szCs w:val="24"/>
        </w:rPr>
      </w:pPr>
    </w:p>
    <w:p w:rsidR="007241EE" w:rsidRPr="006B0314" w:rsidRDefault="007241EE" w:rsidP="007241EE">
      <w:pPr>
        <w:rPr>
          <w:rFonts w:ascii="Arial" w:hAnsi="Arial" w:cs="Arial"/>
          <w:sz w:val="24"/>
          <w:szCs w:val="24"/>
        </w:rPr>
      </w:pPr>
      <w:r w:rsidRPr="006B0314">
        <w:rPr>
          <w:rFonts w:ascii="Arial" w:hAnsi="Arial" w:cs="Arial"/>
          <w:sz w:val="24"/>
          <w:szCs w:val="24"/>
        </w:rPr>
        <w:t>In addition, the City Deal partners, as part of the We Are Lancashire – the Place for Growth campaign, and in association with leading property news and investment website Place North West, ran an event in February which was attended by more than 120 developers, investors and property professionals.</w:t>
      </w:r>
    </w:p>
    <w:p w:rsidR="007241EE" w:rsidRPr="006B0314" w:rsidRDefault="007241EE" w:rsidP="007241EE">
      <w:pPr>
        <w:rPr>
          <w:rFonts w:ascii="Arial" w:hAnsi="Arial" w:cs="Arial"/>
          <w:sz w:val="24"/>
          <w:szCs w:val="24"/>
        </w:rPr>
      </w:pPr>
    </w:p>
    <w:p w:rsidR="007241EE" w:rsidRPr="006B0314" w:rsidRDefault="007241EE" w:rsidP="007241EE">
      <w:pPr>
        <w:rPr>
          <w:rFonts w:ascii="Arial" w:hAnsi="Arial" w:cs="Arial"/>
          <w:sz w:val="24"/>
          <w:szCs w:val="24"/>
        </w:rPr>
      </w:pPr>
      <w:r w:rsidRPr="006B0314">
        <w:rPr>
          <w:rFonts w:ascii="Arial" w:hAnsi="Arial" w:cs="Arial"/>
          <w:sz w:val="24"/>
          <w:szCs w:val="24"/>
        </w:rPr>
        <w:t xml:space="preserve">The half day conference covered a broad range of topics from the strengths of the local economy and what it is like doing business in the area, to the proactive planning and development support that property companies and investors can benefit from when they invest in Central Lancashire.  While not formally launched, the </w:t>
      </w:r>
      <w:r w:rsidRPr="006B0314">
        <w:rPr>
          <w:rFonts w:ascii="Arial" w:hAnsi="Arial" w:cs="Arial"/>
          <w:i/>
          <w:sz w:val="24"/>
          <w:szCs w:val="24"/>
        </w:rPr>
        <w:t>Invest Central Lancashire</w:t>
      </w:r>
      <w:r w:rsidRPr="006B0314">
        <w:rPr>
          <w:rFonts w:ascii="Arial" w:hAnsi="Arial" w:cs="Arial"/>
          <w:sz w:val="24"/>
          <w:szCs w:val="24"/>
        </w:rPr>
        <w:t xml:space="preserve"> theme was successfully used on banners and on presentations made at the event.  Feedback from the event has been very positive.</w:t>
      </w:r>
    </w:p>
    <w:p w:rsidR="007241EE" w:rsidRDefault="007241EE" w:rsidP="007241EE">
      <w:pPr>
        <w:rPr>
          <w:rFonts w:ascii="Arial" w:hAnsi="Arial" w:cs="Arial"/>
          <w:b/>
          <w:sz w:val="24"/>
          <w:szCs w:val="24"/>
          <w:u w:val="single"/>
        </w:rPr>
      </w:pPr>
    </w:p>
    <w:p w:rsidR="007241EE" w:rsidRPr="006B0314" w:rsidRDefault="007241EE" w:rsidP="007241EE">
      <w:pPr>
        <w:rPr>
          <w:rFonts w:ascii="Arial" w:hAnsi="Arial" w:cs="Arial"/>
          <w:b/>
          <w:sz w:val="24"/>
          <w:szCs w:val="24"/>
          <w:u w:val="single"/>
        </w:rPr>
      </w:pPr>
      <w:r w:rsidRPr="006B0314">
        <w:rPr>
          <w:rFonts w:ascii="Arial" w:hAnsi="Arial" w:cs="Arial"/>
          <w:b/>
          <w:sz w:val="24"/>
          <w:szCs w:val="24"/>
          <w:u w:val="single"/>
        </w:rPr>
        <w:t>City  Living Strategy</w:t>
      </w:r>
    </w:p>
    <w:p w:rsidR="007241EE" w:rsidRPr="006B0314" w:rsidRDefault="007241EE" w:rsidP="007241EE">
      <w:pPr>
        <w:rPr>
          <w:rFonts w:ascii="Arial" w:hAnsi="Arial" w:cs="Arial"/>
          <w:sz w:val="24"/>
          <w:szCs w:val="24"/>
        </w:rPr>
      </w:pPr>
    </w:p>
    <w:p w:rsidR="007241EE" w:rsidRPr="006B0314" w:rsidRDefault="007241EE" w:rsidP="007241EE">
      <w:pPr>
        <w:rPr>
          <w:rFonts w:ascii="Arial" w:hAnsi="Arial" w:cs="Arial"/>
          <w:sz w:val="24"/>
          <w:szCs w:val="24"/>
        </w:rPr>
      </w:pPr>
      <w:r w:rsidRPr="006B0314">
        <w:rPr>
          <w:rFonts w:ascii="Arial" w:hAnsi="Arial" w:cs="Arial"/>
          <w:sz w:val="24"/>
          <w:szCs w:val="24"/>
        </w:rPr>
        <w:t xml:space="preserve">As part of the Preston Housing Zone, a City Living Strategy has been produced to help attract inward investment and deliver quality residential developments in the city centre. Future development activity will complement City Deal housing delivery by broadening the range and affordability of housing, and also support other City Centre development activity. A successful launch of the City Living Prospectus was held in April, and ongoing communications and developer engagement will continue, supported by HCA Housing Zone Capacity Funding referenced below. </w:t>
      </w:r>
    </w:p>
    <w:p w:rsidR="007241EE" w:rsidRDefault="007241EE" w:rsidP="007241EE">
      <w:pPr>
        <w:rPr>
          <w:rFonts w:ascii="Arial" w:hAnsi="Arial" w:cs="Arial"/>
          <w:b/>
          <w:sz w:val="24"/>
          <w:szCs w:val="24"/>
          <w:u w:val="single"/>
        </w:rPr>
      </w:pPr>
    </w:p>
    <w:p w:rsidR="007241EE" w:rsidRPr="006B0314" w:rsidRDefault="007241EE" w:rsidP="007241EE">
      <w:pPr>
        <w:rPr>
          <w:rFonts w:ascii="Arial" w:hAnsi="Arial" w:cs="Arial"/>
          <w:b/>
          <w:sz w:val="24"/>
          <w:szCs w:val="24"/>
          <w:u w:val="single"/>
        </w:rPr>
      </w:pPr>
      <w:r w:rsidRPr="006B0314">
        <w:rPr>
          <w:rFonts w:ascii="Arial" w:hAnsi="Arial" w:cs="Arial"/>
          <w:b/>
          <w:sz w:val="24"/>
          <w:szCs w:val="24"/>
          <w:u w:val="single"/>
        </w:rPr>
        <w:t>HCA Large Sites and Housing Zone Capacity Funding</w:t>
      </w:r>
    </w:p>
    <w:p w:rsidR="007241EE" w:rsidRPr="006B0314" w:rsidRDefault="007241EE" w:rsidP="007241EE">
      <w:pPr>
        <w:rPr>
          <w:rFonts w:ascii="Arial" w:hAnsi="Arial" w:cs="Arial"/>
          <w:sz w:val="24"/>
          <w:szCs w:val="24"/>
        </w:rPr>
      </w:pPr>
    </w:p>
    <w:p w:rsidR="00D3134F" w:rsidRPr="00D3134F" w:rsidRDefault="007241EE" w:rsidP="007241EE">
      <w:pPr>
        <w:contextualSpacing/>
        <w:rPr>
          <w:rFonts w:ascii="Arial" w:hAnsi="Arial" w:cs="Arial"/>
          <w:b/>
          <w:sz w:val="24"/>
          <w:szCs w:val="24"/>
        </w:rPr>
      </w:pPr>
      <w:r w:rsidRPr="006B0314">
        <w:rPr>
          <w:rFonts w:ascii="Arial" w:hAnsi="Arial" w:cs="Arial"/>
          <w:sz w:val="24"/>
          <w:szCs w:val="24"/>
        </w:rPr>
        <w:t xml:space="preserve">The City Deal partners have been successful in securing £350,000 from the HCA Large Sites and Housing Zones Capacity Fund, to </w:t>
      </w:r>
      <w:r w:rsidRPr="006B0314">
        <w:rPr>
          <w:rFonts w:ascii="Arial" w:eastAsia="Calibri" w:hAnsi="Arial" w:cs="Arial"/>
          <w:sz w:val="24"/>
          <w:szCs w:val="24"/>
          <w:lang w:eastAsia="en-GB"/>
        </w:rPr>
        <w:t xml:space="preserve">enable more robust development management arrangements to be introduced, providing enhanced pre-planning, planning, post planning and construction support and expertise.  </w:t>
      </w:r>
    </w:p>
    <w:p w:rsidR="00054E0A" w:rsidRPr="009D435E" w:rsidRDefault="00054E0A" w:rsidP="00D3134F">
      <w:pPr>
        <w:pStyle w:val="NoSpacing"/>
        <w:jc w:val="both"/>
        <w:rPr>
          <w:rFonts w:cs="Arial"/>
          <w:szCs w:val="24"/>
        </w:rPr>
      </w:pPr>
    </w:p>
    <w:sectPr w:rsidR="00054E0A" w:rsidRPr="009D435E">
      <w:headerReference w:type="default" r:id="rId10"/>
      <w:footerReference w:type="even"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DA" w:rsidRDefault="000400DA" w:rsidP="00440F6A">
      <w:r>
        <w:separator/>
      </w:r>
    </w:p>
  </w:endnote>
  <w:endnote w:type="continuationSeparator" w:id="0">
    <w:p w:rsidR="000400DA" w:rsidRDefault="000400DA" w:rsidP="0044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1" w:name="aliashAdvancedFooterprot1FooterEvenPages"/>
  </w:p>
  <w:bookmarkEnd w:id="1"/>
  <w:p w:rsidR="006A1583" w:rsidRDefault="006A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2" w:name="aliashAdvancedFooterprotec1FooterPrimary"/>
  </w:p>
  <w:bookmarkEnd w:id="2"/>
  <w:p w:rsidR="006A1583" w:rsidRDefault="006A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3" w:name="aliashAdvancedFooterprot1FooterFirstPage"/>
  </w:p>
  <w:bookmarkEnd w:id="3"/>
  <w:p w:rsidR="006A1583" w:rsidRDefault="006A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DA" w:rsidRDefault="000400DA" w:rsidP="00440F6A">
      <w:r>
        <w:separator/>
      </w:r>
    </w:p>
  </w:footnote>
  <w:footnote w:type="continuationSeparator" w:id="0">
    <w:p w:rsidR="000400DA" w:rsidRDefault="000400DA" w:rsidP="00440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ED346B" w:rsidP="00054E0A">
    <w:pPr>
      <w:pStyle w:val="Header"/>
    </w:pPr>
    <w:r w:rsidRPr="00DA16C4">
      <w:rPr>
        <w:noProof/>
        <w:lang w:eastAsia="en-GB"/>
      </w:rPr>
      <w:drawing>
        <wp:inline distT="0" distB="0" distL="0" distR="0" wp14:anchorId="2C809399" wp14:editId="5BAB2C79">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E25"/>
    <w:multiLevelType w:val="multilevel"/>
    <w:tmpl w:val="8AF07A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013A33"/>
    <w:multiLevelType w:val="hybridMultilevel"/>
    <w:tmpl w:val="CFCC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42B64"/>
    <w:multiLevelType w:val="hybridMultilevel"/>
    <w:tmpl w:val="C31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74249"/>
    <w:multiLevelType w:val="hybridMultilevel"/>
    <w:tmpl w:val="5AE8D134"/>
    <w:lvl w:ilvl="0" w:tplc="369A2A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D15AF"/>
    <w:multiLevelType w:val="hybridMultilevel"/>
    <w:tmpl w:val="9D96FD26"/>
    <w:lvl w:ilvl="0" w:tplc="19901D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32776"/>
    <w:multiLevelType w:val="multilevel"/>
    <w:tmpl w:val="8DAEDF98"/>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060D89"/>
    <w:multiLevelType w:val="hybridMultilevel"/>
    <w:tmpl w:val="C5D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152D6"/>
    <w:multiLevelType w:val="hybridMultilevel"/>
    <w:tmpl w:val="63368B72"/>
    <w:lvl w:ilvl="0" w:tplc="369A2A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E0AD1"/>
    <w:multiLevelType w:val="multilevel"/>
    <w:tmpl w:val="BEC4E40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9F46E1"/>
    <w:multiLevelType w:val="hybridMultilevel"/>
    <w:tmpl w:val="75FA8284"/>
    <w:lvl w:ilvl="0" w:tplc="810AF98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72FA1"/>
    <w:multiLevelType w:val="hybridMultilevel"/>
    <w:tmpl w:val="CAA26538"/>
    <w:lvl w:ilvl="0" w:tplc="369A2A2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46A603C"/>
    <w:multiLevelType w:val="hybridMultilevel"/>
    <w:tmpl w:val="6114B4CC"/>
    <w:lvl w:ilvl="0" w:tplc="369A2A22">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529788C"/>
    <w:multiLevelType w:val="hybridMultilevel"/>
    <w:tmpl w:val="A4A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016098"/>
    <w:multiLevelType w:val="multilevel"/>
    <w:tmpl w:val="BEC4E40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663AE1"/>
    <w:multiLevelType w:val="hybridMultilevel"/>
    <w:tmpl w:val="2F145FD4"/>
    <w:lvl w:ilvl="0" w:tplc="369A2A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A0643"/>
    <w:multiLevelType w:val="multilevel"/>
    <w:tmpl w:val="BEC4E40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497559"/>
    <w:multiLevelType w:val="hybridMultilevel"/>
    <w:tmpl w:val="609C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64260"/>
    <w:multiLevelType w:val="hybridMultilevel"/>
    <w:tmpl w:val="D206A9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DE02CEF"/>
    <w:multiLevelType w:val="hybridMultilevel"/>
    <w:tmpl w:val="F9E8E80A"/>
    <w:lvl w:ilvl="0" w:tplc="369A2A2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DB6CC8"/>
    <w:multiLevelType w:val="hybridMultilevel"/>
    <w:tmpl w:val="1A4C4D24"/>
    <w:lvl w:ilvl="0" w:tplc="369A2A22">
      <w:numFmt w:val="bullet"/>
      <w:lvlText w:val="-"/>
      <w:lvlJc w:val="left"/>
      <w:pPr>
        <w:ind w:left="1152" w:hanging="360"/>
      </w:pPr>
      <w:rPr>
        <w:rFonts w:ascii="Calibri" w:eastAsiaTheme="minorHAnsi" w:hAnsi="Calibri" w:cstheme="minorBid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340F74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1718BA"/>
    <w:multiLevelType w:val="hybridMultilevel"/>
    <w:tmpl w:val="F1665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B90791"/>
    <w:multiLevelType w:val="hybridMultilevel"/>
    <w:tmpl w:val="E53A95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AB50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9B0A42"/>
    <w:multiLevelType w:val="multilevel"/>
    <w:tmpl w:val="D32E063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616703"/>
    <w:multiLevelType w:val="hybridMultilevel"/>
    <w:tmpl w:val="473C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80BE6"/>
    <w:multiLevelType w:val="hybridMultilevel"/>
    <w:tmpl w:val="2FC61F86"/>
    <w:lvl w:ilvl="0" w:tplc="369A2A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92A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387F9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C506FC"/>
    <w:multiLevelType w:val="multilevel"/>
    <w:tmpl w:val="2E304106"/>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Calibri" w:eastAsiaTheme="minorHAnsi" w:hAnsi="Calibri" w:cstheme="minorBid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D7C1E80"/>
    <w:multiLevelType w:val="multilevel"/>
    <w:tmpl w:val="91AC0E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791EA0"/>
    <w:multiLevelType w:val="multilevel"/>
    <w:tmpl w:val="D32E063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8914AB"/>
    <w:multiLevelType w:val="hybridMultilevel"/>
    <w:tmpl w:val="D152E374"/>
    <w:lvl w:ilvl="0" w:tplc="17E2B4F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B3E5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D72424"/>
    <w:multiLevelType w:val="hybridMultilevel"/>
    <w:tmpl w:val="73B446E2"/>
    <w:lvl w:ilvl="0" w:tplc="369A2A22">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72C5DA3"/>
    <w:multiLevelType w:val="multilevel"/>
    <w:tmpl w:val="C8EEE026"/>
    <w:lvl w:ilvl="0">
      <w:start w:val="7"/>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2C7142"/>
    <w:multiLevelType w:val="multilevel"/>
    <w:tmpl w:val="E466D114"/>
    <w:lvl w:ilvl="0">
      <w:start w:val="7"/>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D911B7E"/>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947FD4"/>
    <w:multiLevelType w:val="hybridMultilevel"/>
    <w:tmpl w:val="6C58D008"/>
    <w:lvl w:ilvl="0" w:tplc="FA5648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8E2F9B"/>
    <w:multiLevelType w:val="hybridMultilevel"/>
    <w:tmpl w:val="35D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B760CA"/>
    <w:multiLevelType w:val="hybridMultilevel"/>
    <w:tmpl w:val="F53E06CC"/>
    <w:lvl w:ilvl="0" w:tplc="543C046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861079"/>
    <w:multiLevelType w:val="multilevel"/>
    <w:tmpl w:val="57F26D7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Calibri" w:eastAsiaTheme="minorHAnsi" w:hAnsi="Calibri" w:cstheme="minorBid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39"/>
  </w:num>
  <w:num w:numId="3">
    <w:abstractNumId w:val="12"/>
  </w:num>
  <w:num w:numId="4">
    <w:abstractNumId w:val="2"/>
  </w:num>
  <w:num w:numId="5">
    <w:abstractNumId w:val="10"/>
  </w:num>
  <w:num w:numId="6">
    <w:abstractNumId w:val="21"/>
  </w:num>
  <w:num w:numId="7">
    <w:abstractNumId w:val="9"/>
  </w:num>
  <w:num w:numId="8">
    <w:abstractNumId w:val="17"/>
  </w:num>
  <w:num w:numId="9">
    <w:abstractNumId w:val="16"/>
  </w:num>
  <w:num w:numId="10">
    <w:abstractNumId w:val="25"/>
  </w:num>
  <w:num w:numId="11">
    <w:abstractNumId w:val="4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2"/>
  </w:num>
  <w:num w:numId="15">
    <w:abstractNumId w:val="0"/>
  </w:num>
  <w:num w:numId="16">
    <w:abstractNumId w:val="33"/>
  </w:num>
  <w:num w:numId="17">
    <w:abstractNumId w:val="29"/>
  </w:num>
  <w:num w:numId="18">
    <w:abstractNumId w:val="3"/>
  </w:num>
  <w:num w:numId="19">
    <w:abstractNumId w:val="41"/>
  </w:num>
  <w:num w:numId="20">
    <w:abstractNumId w:val="15"/>
  </w:num>
  <w:num w:numId="21">
    <w:abstractNumId w:val="19"/>
  </w:num>
  <w:num w:numId="22">
    <w:abstractNumId w:val="22"/>
  </w:num>
  <w:num w:numId="23">
    <w:abstractNumId w:val="8"/>
  </w:num>
  <w:num w:numId="24">
    <w:abstractNumId w:val="26"/>
  </w:num>
  <w:num w:numId="25">
    <w:abstractNumId w:val="14"/>
  </w:num>
  <w:num w:numId="26">
    <w:abstractNumId w:val="13"/>
  </w:num>
  <w:num w:numId="27">
    <w:abstractNumId w:val="36"/>
  </w:num>
  <w:num w:numId="28">
    <w:abstractNumId w:val="34"/>
  </w:num>
  <w:num w:numId="29">
    <w:abstractNumId w:val="35"/>
  </w:num>
  <w:num w:numId="30">
    <w:abstractNumId w:val="23"/>
  </w:num>
  <w:num w:numId="31">
    <w:abstractNumId w:val="38"/>
  </w:num>
  <w:num w:numId="32">
    <w:abstractNumId w:val="24"/>
  </w:num>
  <w:num w:numId="33">
    <w:abstractNumId w:val="31"/>
  </w:num>
  <w:num w:numId="34">
    <w:abstractNumId w:val="11"/>
  </w:num>
  <w:num w:numId="35">
    <w:abstractNumId w:val="37"/>
  </w:num>
  <w:num w:numId="36">
    <w:abstractNumId w:val="28"/>
  </w:num>
  <w:num w:numId="37">
    <w:abstractNumId w:val="5"/>
  </w:num>
  <w:num w:numId="38">
    <w:abstractNumId w:val="27"/>
  </w:num>
  <w:num w:numId="39">
    <w:abstractNumId w:val="20"/>
  </w:num>
  <w:num w:numId="40">
    <w:abstractNumId w:val="30"/>
  </w:num>
  <w:num w:numId="41">
    <w:abstractNumId w:val="4"/>
  </w:num>
  <w:num w:numId="42">
    <w:abstractNumId w:val="1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6A"/>
    <w:rsid w:val="00001F21"/>
    <w:rsid w:val="00015224"/>
    <w:rsid w:val="000400DA"/>
    <w:rsid w:val="000448F5"/>
    <w:rsid w:val="00054E0A"/>
    <w:rsid w:val="00082BC7"/>
    <w:rsid w:val="00082D91"/>
    <w:rsid w:val="000A0ADC"/>
    <w:rsid w:val="000B5CB9"/>
    <w:rsid w:val="000D16D8"/>
    <w:rsid w:val="001066AE"/>
    <w:rsid w:val="00150D20"/>
    <w:rsid w:val="00153818"/>
    <w:rsid w:val="001666DA"/>
    <w:rsid w:val="00193925"/>
    <w:rsid w:val="001A4FDA"/>
    <w:rsid w:val="001D3586"/>
    <w:rsid w:val="001E0DA5"/>
    <w:rsid w:val="001F672D"/>
    <w:rsid w:val="00221C44"/>
    <w:rsid w:val="00233B5B"/>
    <w:rsid w:val="0026380D"/>
    <w:rsid w:val="002823A0"/>
    <w:rsid w:val="002B4333"/>
    <w:rsid w:val="002E1234"/>
    <w:rsid w:val="00303742"/>
    <w:rsid w:val="0035652C"/>
    <w:rsid w:val="00373267"/>
    <w:rsid w:val="0037633C"/>
    <w:rsid w:val="003B6A3F"/>
    <w:rsid w:val="003B7175"/>
    <w:rsid w:val="00440F6A"/>
    <w:rsid w:val="00442C68"/>
    <w:rsid w:val="0044360A"/>
    <w:rsid w:val="004B02C9"/>
    <w:rsid w:val="004C2AD8"/>
    <w:rsid w:val="004F7E22"/>
    <w:rsid w:val="005023C6"/>
    <w:rsid w:val="00516FB0"/>
    <w:rsid w:val="005811C2"/>
    <w:rsid w:val="005962FC"/>
    <w:rsid w:val="00676189"/>
    <w:rsid w:val="006A1583"/>
    <w:rsid w:val="007241EE"/>
    <w:rsid w:val="007C7D8F"/>
    <w:rsid w:val="007D3EFC"/>
    <w:rsid w:val="007E6239"/>
    <w:rsid w:val="00807C4B"/>
    <w:rsid w:val="008427F3"/>
    <w:rsid w:val="008946E8"/>
    <w:rsid w:val="008F0B5F"/>
    <w:rsid w:val="00946DB8"/>
    <w:rsid w:val="009A45BB"/>
    <w:rsid w:val="009D435E"/>
    <w:rsid w:val="009F3706"/>
    <w:rsid w:val="00AB3E86"/>
    <w:rsid w:val="00AC4EA1"/>
    <w:rsid w:val="00AF6140"/>
    <w:rsid w:val="00AF6F3E"/>
    <w:rsid w:val="00B34F4D"/>
    <w:rsid w:val="00B63660"/>
    <w:rsid w:val="00BE1763"/>
    <w:rsid w:val="00C07FAB"/>
    <w:rsid w:val="00C41902"/>
    <w:rsid w:val="00C668A2"/>
    <w:rsid w:val="00CB0C33"/>
    <w:rsid w:val="00CE5CB2"/>
    <w:rsid w:val="00D04A61"/>
    <w:rsid w:val="00D3134F"/>
    <w:rsid w:val="00D70F5F"/>
    <w:rsid w:val="00D94268"/>
    <w:rsid w:val="00DA1650"/>
    <w:rsid w:val="00DB0E4B"/>
    <w:rsid w:val="00DB1A72"/>
    <w:rsid w:val="00DC521A"/>
    <w:rsid w:val="00DD5D82"/>
    <w:rsid w:val="00DE07D7"/>
    <w:rsid w:val="00DE39D4"/>
    <w:rsid w:val="00E003DB"/>
    <w:rsid w:val="00E07137"/>
    <w:rsid w:val="00E1211C"/>
    <w:rsid w:val="00E140D8"/>
    <w:rsid w:val="00E22C8C"/>
    <w:rsid w:val="00E805E8"/>
    <w:rsid w:val="00ED24C9"/>
    <w:rsid w:val="00ED346B"/>
    <w:rsid w:val="00EF579A"/>
    <w:rsid w:val="00F277F8"/>
    <w:rsid w:val="00F3667B"/>
    <w:rsid w:val="00F41D53"/>
    <w:rsid w:val="00F54335"/>
    <w:rsid w:val="00F770D9"/>
    <w:rsid w:val="00FA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650"/>
  </w:style>
  <w:style w:type="paragraph" w:styleId="Heading5">
    <w:name w:val="heading 5"/>
    <w:basedOn w:val="Normal"/>
    <w:next w:val="Normal"/>
    <w:link w:val="Heading5Char"/>
    <w:uiPriority w:val="9"/>
    <w:semiHidden/>
    <w:unhideWhenUsed/>
    <w:qFormat/>
    <w:rsid w:val="00D3134F"/>
    <w:pPr>
      <w:keepNext/>
      <w:keepLines/>
      <w:spacing w:before="4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F6A"/>
    <w:pPr>
      <w:tabs>
        <w:tab w:val="center" w:pos="4513"/>
        <w:tab w:val="right" w:pos="9026"/>
      </w:tabs>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7241EE"/>
    <w:rPr>
      <w:color w:val="0000FF" w:themeColor="hyperlink"/>
      <w:u w:val="single"/>
    </w:rPr>
  </w:style>
  <w:style w:type="table" w:styleId="TableGrid">
    <w:name w:val="Table Grid"/>
    <w:basedOn w:val="TableNormal"/>
    <w:uiPriority w:val="39"/>
    <w:rsid w:val="00724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24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EE"/>
    <w:rPr>
      <w:rFonts w:ascii="Segoe UI" w:hAnsi="Segoe UI" w:cs="Segoe UI"/>
      <w:sz w:val="18"/>
      <w:szCs w:val="18"/>
    </w:rPr>
  </w:style>
  <w:style w:type="paragraph" w:customStyle="1" w:styleId="Default">
    <w:name w:val="Default"/>
    <w:rsid w:val="007241E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241EE"/>
    <w:rPr>
      <w:sz w:val="16"/>
      <w:szCs w:val="16"/>
    </w:rPr>
  </w:style>
  <w:style w:type="paragraph" w:styleId="CommentText">
    <w:name w:val="annotation text"/>
    <w:basedOn w:val="Normal"/>
    <w:link w:val="CommentTextChar"/>
    <w:uiPriority w:val="99"/>
    <w:semiHidden/>
    <w:unhideWhenUsed/>
    <w:rsid w:val="007241EE"/>
    <w:pPr>
      <w:spacing w:after="160"/>
    </w:pPr>
    <w:rPr>
      <w:sz w:val="20"/>
      <w:szCs w:val="20"/>
    </w:rPr>
  </w:style>
  <w:style w:type="character" w:customStyle="1" w:styleId="CommentTextChar">
    <w:name w:val="Comment Text Char"/>
    <w:basedOn w:val="DefaultParagraphFont"/>
    <w:link w:val="CommentText"/>
    <w:uiPriority w:val="99"/>
    <w:semiHidden/>
    <w:rsid w:val="007241EE"/>
    <w:rPr>
      <w:sz w:val="20"/>
      <w:szCs w:val="20"/>
    </w:rPr>
  </w:style>
  <w:style w:type="paragraph" w:styleId="CommentSubject">
    <w:name w:val="annotation subject"/>
    <w:basedOn w:val="CommentText"/>
    <w:next w:val="CommentText"/>
    <w:link w:val="CommentSubjectChar"/>
    <w:uiPriority w:val="99"/>
    <w:semiHidden/>
    <w:unhideWhenUsed/>
    <w:rsid w:val="007241EE"/>
    <w:rPr>
      <w:b/>
      <w:bCs/>
    </w:rPr>
  </w:style>
  <w:style w:type="character" w:customStyle="1" w:styleId="CommentSubjectChar">
    <w:name w:val="Comment Subject Char"/>
    <w:basedOn w:val="CommentTextChar"/>
    <w:link w:val="CommentSubject"/>
    <w:uiPriority w:val="99"/>
    <w:semiHidden/>
    <w:rsid w:val="007241EE"/>
    <w:rPr>
      <w:b/>
      <w:bCs/>
      <w:sz w:val="20"/>
      <w:szCs w:val="20"/>
    </w:rPr>
  </w:style>
  <w:style w:type="table" w:customStyle="1" w:styleId="TableGrid2">
    <w:name w:val="Table Grid2"/>
    <w:basedOn w:val="TableNormal"/>
    <w:next w:val="TableGrid"/>
    <w:uiPriority w:val="39"/>
    <w:rsid w:val="00724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241EE"/>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41E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2879">
      <w:bodyDiv w:val="1"/>
      <w:marLeft w:val="0"/>
      <w:marRight w:val="0"/>
      <w:marTop w:val="0"/>
      <w:marBottom w:val="0"/>
      <w:divBdr>
        <w:top w:val="none" w:sz="0" w:space="0" w:color="auto"/>
        <w:left w:val="none" w:sz="0" w:space="0" w:color="auto"/>
        <w:bottom w:val="none" w:sz="0" w:space="0" w:color="auto"/>
        <w:right w:val="none" w:sz="0" w:space="0" w:color="auto"/>
      </w:divBdr>
    </w:div>
    <w:div w:id="1387338331">
      <w:bodyDiv w:val="1"/>
      <w:marLeft w:val="0"/>
      <w:marRight w:val="0"/>
      <w:marTop w:val="0"/>
      <w:marBottom w:val="0"/>
      <w:divBdr>
        <w:top w:val="none" w:sz="0" w:space="0" w:color="auto"/>
        <w:left w:val="none" w:sz="0" w:space="0" w:color="auto"/>
        <w:bottom w:val="none" w:sz="0" w:space="0" w:color="auto"/>
        <w:right w:val="none" w:sz="0" w:space="0" w:color="auto"/>
      </w:divBdr>
    </w:div>
    <w:div w:id="2120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hudson@lancashire.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h.parry@lancashi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3DFE-3D51-4D67-A0CB-69C10967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5040</Words>
  <Characters>28730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14</cp:revision>
  <cp:lastPrinted>2015-01-28T14:27:00Z</cp:lastPrinted>
  <dcterms:created xsi:type="dcterms:W3CDTF">2015-03-30T10:11:00Z</dcterms:created>
  <dcterms:modified xsi:type="dcterms:W3CDTF">2017-06-15T13:58:00Z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b16076df-281e-485b-ac3b-6fbc29115d7d</vt:lpwstr>
  </property>
  <property fmtid="{D5CDD505-2E9C-101B-9397-08002B2CF9AE}" pid="3" name="HCAGPMS">
    <vt:lpwstr>OFFICIAL</vt:lpwstr>
  </property>
  <property fmtid="{D5CDD505-2E9C-101B-9397-08002B2CF9AE}" pid="4" name="IssueTitle">
    <vt:lpwstr>2016/17 -  End of Year Review</vt:lpwstr>
  </property>
  <property fmtid="{D5CDD505-2E9C-101B-9397-08002B2CF9AE}" pid="5" name="LeadOfficer">
    <vt:lpwstr>Sarah Parry</vt:lpwstr>
  </property>
  <property fmtid="{D5CDD505-2E9C-101B-9397-08002B2CF9AE}" pid="6" name="LeadOfficerTel">
    <vt:lpwstr>Tel: 01772 530615</vt:lpwstr>
  </property>
  <property fmtid="{D5CDD505-2E9C-101B-9397-08002B2CF9AE}" pid="7" name="LeadOfficerEmail">
    <vt:lpwstr>sarah.parry@lancashire.gov.uk</vt:lpwstr>
  </property>
  <property fmtid="{D5CDD505-2E9C-101B-9397-08002B2CF9AE}" pid="8" name="MeetingDate">
    <vt:lpwstr>Tuesday, 20 June 2017</vt:lpwstr>
  </property>
</Properties>
</file>